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BD" w:rsidRPr="00C63ED8" w:rsidRDefault="00DB5EBD" w:rsidP="000B68EC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3ED8">
        <w:rPr>
          <w:rFonts w:ascii="Times New Roman" w:hAnsi="Times New Roman"/>
          <w:color w:val="auto"/>
          <w:sz w:val="24"/>
          <w:szCs w:val="24"/>
        </w:rPr>
        <w:t xml:space="preserve">ПАСПОРТ УСЛУГИ (ПРОЦЕССА) </w:t>
      </w:r>
      <w:r>
        <w:rPr>
          <w:rFonts w:ascii="Times New Roman" w:hAnsi="Times New Roman"/>
          <w:color w:val="auto"/>
          <w:sz w:val="24"/>
          <w:szCs w:val="24"/>
        </w:rPr>
        <w:t>ФГУ «Краснодарское водохранилище»</w:t>
      </w:r>
    </w:p>
    <w:p w:rsidR="00DB5EBD" w:rsidRPr="00C63ED8" w:rsidRDefault="00DB5EBD" w:rsidP="000B68EC">
      <w:pPr>
        <w:tabs>
          <w:tab w:val="left" w:pos="8505"/>
        </w:tabs>
        <w:spacing w:after="0"/>
        <w:ind w:left="8222"/>
        <w:rPr>
          <w:rFonts w:ascii="Times New Roman" w:hAnsi="Times New Roman"/>
          <w:sz w:val="20"/>
          <w:szCs w:val="20"/>
        </w:rPr>
      </w:pPr>
    </w:p>
    <w:p w:rsidR="00DB5EBD" w:rsidRPr="000B68EC" w:rsidRDefault="00DB5EBD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DB5EBD" w:rsidRPr="000B68EC" w:rsidRDefault="00DB5EBD" w:rsidP="0001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>ПОСРЕДСТВОМ ПЕРЕРАСПРЕДЕЛЕНИЯ МАКСИМАЛЬНОЙ МОЩНОСТИ</w:t>
      </w:r>
      <w:r w:rsidRPr="000B68EC">
        <w:rPr>
          <w:rFonts w:ascii="Times New Roman" w:hAnsi="Times New Roman"/>
          <w:b/>
          <w:color w:val="548DD4"/>
          <w:sz w:val="24"/>
          <w:szCs w:val="24"/>
        </w:rPr>
        <w:br/>
      </w:r>
    </w:p>
    <w:p w:rsidR="00DB5EBD" w:rsidRPr="000B68EC" w:rsidRDefault="00DB5EBD" w:rsidP="00885D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 xml:space="preserve">КРУГ ЗАЯВИТЕЛЕЙ: </w:t>
      </w:r>
      <w:r w:rsidRPr="000B68EC">
        <w:rPr>
          <w:rFonts w:ascii="Times New Roman" w:hAnsi="Times New Roman"/>
          <w:sz w:val="24"/>
          <w:szCs w:val="24"/>
        </w:rPr>
        <w:t>юридическое лицо или индивидуальный предприниматель.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>РАЗМЕР ПЛАТЫ ЗА ПРЕДОСТАВЛЕНИЕ УСЛУГИ (ПРОЦЕССА) И ОСНОВАНИЕ ЕЕ ВЗИМАНИЯ:</w:t>
      </w:r>
      <w:r w:rsidRPr="000B68EC">
        <w:rPr>
          <w:rFonts w:ascii="Times New Roman" w:hAnsi="Times New Roman"/>
          <w:b/>
          <w:sz w:val="24"/>
          <w:szCs w:val="24"/>
        </w:rPr>
        <w:t xml:space="preserve"> </w:t>
      </w:r>
      <w:r w:rsidRPr="00970993">
        <w:rPr>
          <w:rFonts w:ascii="Times New Roman" w:hAnsi="Times New Roman"/>
          <w:sz w:val="24"/>
          <w:szCs w:val="24"/>
        </w:rPr>
        <w:t xml:space="preserve">Размер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</w:t>
      </w:r>
      <w:r w:rsidRPr="00872538">
        <w:rPr>
          <w:rFonts w:ascii="Times New Roman" w:hAnsi="Times New Roman"/>
          <w:sz w:val="24"/>
          <w:szCs w:val="24"/>
        </w:rPr>
        <w:t>установленных</w:t>
      </w:r>
      <w:r w:rsidRPr="00970993">
        <w:rPr>
          <w:rFonts w:ascii="Times New Roman" w:hAnsi="Times New Roman"/>
          <w:sz w:val="24"/>
          <w:szCs w:val="24"/>
        </w:rPr>
        <w:t xml:space="preserve"> уполномоченным органом исполнительной власти в области государственного регулирования тарифов</w:t>
      </w:r>
      <w:r w:rsidRPr="000B68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>УСЛОВИЯ ОКАЗАНИЯ УСЛУГИ (ПРОЦЕССА):</w:t>
      </w:r>
      <w:r w:rsidRPr="000B68EC">
        <w:rPr>
          <w:rFonts w:ascii="Times New Roman" w:hAnsi="Times New Roman"/>
          <w:sz w:val="24"/>
          <w:szCs w:val="24"/>
        </w:rPr>
        <w:t xml:space="preserve"> 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sz w:val="24"/>
          <w:szCs w:val="24"/>
        </w:rPr>
        <w:t xml:space="preserve">1) Наличие соглашения о перераспределении мощности между заинтересованными лицами; наличие избытков мощности. 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sz w:val="24"/>
          <w:szCs w:val="24"/>
        </w:rPr>
        <w:t>2) Перераспределение возможно в пределах действия одного центра питания (при осуществлении перераспределения максимальной мощности в электрических сетях классом напряжения от 0,4 до 35 кВ центром питания считается питающая подстанция с классом напряжения 35 кВ,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</w:t>
      </w:r>
      <w:r>
        <w:rPr>
          <w:rFonts w:ascii="Times New Roman" w:hAnsi="Times New Roman"/>
          <w:sz w:val="24"/>
          <w:szCs w:val="24"/>
        </w:rPr>
        <w:t>)</w:t>
      </w:r>
      <w:r w:rsidRPr="000B68EC">
        <w:rPr>
          <w:rFonts w:ascii="Times New Roman" w:hAnsi="Times New Roman"/>
          <w:sz w:val="24"/>
          <w:szCs w:val="24"/>
        </w:rPr>
        <w:t>;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sz w:val="24"/>
          <w:szCs w:val="24"/>
        </w:rPr>
        <w:t xml:space="preserve">3) Заявители,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0B68EC">
        <w:rPr>
          <w:rFonts w:ascii="Times New Roman" w:hAnsi="Times New Roman"/>
          <w:sz w:val="24"/>
          <w:szCs w:val="24"/>
        </w:rPr>
        <w:t xml:space="preserve">отношении которых до 1 января </w:t>
      </w:r>
      <w:smartTag w:uri="urn:schemas-microsoft-com:office:smarttags" w:element="metricconverter">
        <w:smartTagPr>
          <w:attr w:name="ProductID" w:val="2009 г"/>
        </w:smartTagPr>
        <w:r w:rsidRPr="000B68EC">
          <w:rPr>
            <w:rFonts w:ascii="Times New Roman" w:hAnsi="Times New Roman"/>
            <w:sz w:val="24"/>
            <w:szCs w:val="24"/>
          </w:rPr>
          <w:t>2009 г</w:t>
        </w:r>
      </w:smartTag>
      <w:r w:rsidRPr="000B68EC">
        <w:rPr>
          <w:rFonts w:ascii="Times New Roman" w:hAnsi="Times New Roman"/>
          <w:sz w:val="24"/>
          <w:szCs w:val="24"/>
        </w:rPr>
        <w:t>. в установленном порядке было осуществлено технологическое присоединение к электрическим сетям, вправе по соглашению с иными владельцами энергопринимающих устройств снизить объем максимальной мощности.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sz w:val="24"/>
          <w:szCs w:val="24"/>
        </w:rPr>
        <w:t>4) За исключением лиц, юридические лица и индивидуальные предприниматели до 150 кВт (3 категория надежности), намеревающихся осуществить присоединение по временной схеме, физических лиц  коммунально-бытовая нагрузка до 15 кВт (с учетом ранее присоединенной).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>РЕЗУЛЬТАТ ОКАЗАНИЯ УСЛУГИ (ПРОЦЕССА):</w:t>
      </w:r>
      <w:r w:rsidRPr="000B68EC">
        <w:rPr>
          <w:rFonts w:ascii="Times New Roman" w:hAnsi="Times New Roman"/>
          <w:sz w:val="24"/>
          <w:szCs w:val="24"/>
        </w:rPr>
        <w:t xml:space="preserve"> технологическо</w:t>
      </w:r>
      <w:r>
        <w:rPr>
          <w:rFonts w:ascii="Times New Roman" w:hAnsi="Times New Roman"/>
          <w:sz w:val="24"/>
          <w:szCs w:val="24"/>
        </w:rPr>
        <w:t>е</w:t>
      </w:r>
      <w:r w:rsidRPr="000B68EC">
        <w:rPr>
          <w:rFonts w:ascii="Times New Roman" w:hAnsi="Times New Roman"/>
          <w:sz w:val="24"/>
          <w:szCs w:val="24"/>
        </w:rPr>
        <w:t xml:space="preserve"> присоединени</w:t>
      </w:r>
      <w:r>
        <w:rPr>
          <w:rFonts w:ascii="Times New Roman" w:hAnsi="Times New Roman"/>
          <w:sz w:val="24"/>
          <w:szCs w:val="24"/>
        </w:rPr>
        <w:t>е</w:t>
      </w:r>
      <w:r w:rsidRPr="000B68EC">
        <w:rPr>
          <w:rFonts w:ascii="Times New Roman" w:hAnsi="Times New Roman"/>
          <w:sz w:val="24"/>
          <w:szCs w:val="24"/>
        </w:rPr>
        <w:t xml:space="preserve"> энергопринимающих устройств Заявителя посредством перераспределения мощности.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color w:val="548DD4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>ОБЩИЙ СРОК ОКАЗАНИЯ УСЛУГИ (ПРОЦЕССА):</w:t>
      </w:r>
    </w:p>
    <w:p w:rsidR="00DB5EBD" w:rsidRPr="00600ADE" w:rsidRDefault="00DB5EBD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00ADE">
        <w:rPr>
          <w:rFonts w:ascii="Times New Roman" w:hAnsi="Times New Roman"/>
          <w:sz w:val="24"/>
          <w:szCs w:val="24"/>
        </w:rPr>
        <w:t>120 дней - для заявителей, максимальная мощность энергопринимающих устройств которых составляет до 670 кВт;</w:t>
      </w:r>
    </w:p>
    <w:p w:rsidR="00DB5EBD" w:rsidRPr="000B68EC" w:rsidRDefault="00DB5EBD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00ADE">
        <w:rPr>
          <w:rFonts w:ascii="Times New Roman" w:hAnsi="Times New Roman"/>
          <w:sz w:val="24"/>
          <w:szCs w:val="24"/>
        </w:rPr>
        <w:t>1 год</w:t>
      </w:r>
      <w:r w:rsidRPr="000B68EC">
        <w:rPr>
          <w:rFonts w:ascii="Times New Roman" w:hAnsi="Times New Roman"/>
          <w:sz w:val="24"/>
          <w:szCs w:val="24"/>
        </w:rPr>
        <w:t xml:space="preserve"> - для заявителей, максимальная мощность энергопринимающих устройств которых составляет свыше 670 кВт.</w:t>
      </w:r>
    </w:p>
    <w:p w:rsidR="00DB5EBD" w:rsidRPr="000B68EC" w:rsidRDefault="00DB5EBD" w:rsidP="00885D40">
      <w:pPr>
        <w:spacing w:after="0" w:line="240" w:lineRule="auto"/>
        <w:jc w:val="both"/>
        <w:outlineLvl w:val="0"/>
        <w:rPr>
          <w:rFonts w:ascii="Times New Roman" w:hAnsi="Times New Roman"/>
          <w:b/>
          <w:color w:val="548DD4"/>
          <w:sz w:val="24"/>
          <w:szCs w:val="24"/>
        </w:rPr>
      </w:pPr>
      <w:r w:rsidRPr="000B68EC">
        <w:rPr>
          <w:rFonts w:ascii="Times New Roman" w:hAnsi="Times New Roman"/>
          <w:b/>
          <w:color w:val="548DD4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W w:w="4948" w:type="pct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474"/>
        <w:gridCol w:w="2216"/>
        <w:gridCol w:w="2273"/>
        <w:gridCol w:w="3005"/>
        <w:gridCol w:w="1909"/>
        <w:gridCol w:w="1762"/>
        <w:gridCol w:w="2713"/>
      </w:tblGrid>
      <w:tr w:rsidR="00DB5EBD" w:rsidRPr="00924BC6" w:rsidTr="00924BC6">
        <w:trPr>
          <w:tblHeader/>
        </w:trPr>
        <w:tc>
          <w:tcPr>
            <w:tcW w:w="165" w:type="pct"/>
            <w:tcBorders>
              <w:top w:val="single" w:sz="8" w:space="0" w:color="4F81BD"/>
              <w:bottom w:val="double" w:sz="4" w:space="0" w:color="4F81BD"/>
            </w:tcBorders>
            <w:shd w:val="clear" w:color="auto" w:fill="4F81BD"/>
          </w:tcPr>
          <w:p w:rsidR="00DB5EBD" w:rsidRPr="00924BC6" w:rsidRDefault="00DB5EBD" w:rsidP="00924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№</w:t>
            </w:r>
          </w:p>
        </w:tc>
        <w:tc>
          <w:tcPr>
            <w:tcW w:w="772" w:type="pct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DB5EBD" w:rsidRPr="00924BC6" w:rsidRDefault="00DB5EBD" w:rsidP="00924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Этап</w:t>
            </w:r>
          </w:p>
        </w:tc>
        <w:tc>
          <w:tcPr>
            <w:tcW w:w="792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DB5EBD" w:rsidRPr="00924BC6" w:rsidRDefault="00DB5EBD" w:rsidP="00924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Условие этапа</w:t>
            </w:r>
          </w:p>
        </w:tc>
        <w:tc>
          <w:tcPr>
            <w:tcW w:w="1047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DB5EBD" w:rsidRPr="00924BC6" w:rsidRDefault="00DB5EBD" w:rsidP="00924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Содержание</w:t>
            </w:r>
          </w:p>
        </w:tc>
        <w:tc>
          <w:tcPr>
            <w:tcW w:w="665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DB5EBD" w:rsidRPr="00924BC6" w:rsidRDefault="00DB5EBD" w:rsidP="00924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Форма предоставления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DB5EBD" w:rsidRPr="00924BC6" w:rsidRDefault="00DB5EBD" w:rsidP="00924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Срок исполнения</w:t>
            </w:r>
          </w:p>
        </w:tc>
        <w:tc>
          <w:tcPr>
            <w:tcW w:w="945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</w:tcBorders>
            <w:shd w:val="clear" w:color="auto" w:fill="4F81BD"/>
          </w:tcPr>
          <w:p w:rsidR="00DB5EBD" w:rsidRPr="00924BC6" w:rsidRDefault="00DB5EBD" w:rsidP="00924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FFFFFF"/>
                <w:lang w:eastAsia="ru-RU"/>
              </w:rPr>
              <w:t>Ссылка на нормативно правовой акт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1</w:t>
            </w:r>
          </w:p>
        </w:tc>
        <w:tc>
          <w:tcPr>
            <w:tcW w:w="7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Заключение Соглашения о перераспределении мощности между заинтересованными лицами</w:t>
            </w: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Заключение соглашения между лицами о перераспределении максимальной мощности принадлежащими им энергопринимающими устройствами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 xml:space="preserve">В письменной форме 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Не ограничено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  <w:r w:rsidRPr="00924BC6">
              <w:rPr>
                <w:rStyle w:val="FootnoteReference"/>
                <w:rFonts w:ascii="Times New Roman" w:hAnsi="Times New Roman"/>
              </w:rPr>
              <w:footnoteReference w:id="1"/>
            </w:r>
            <w:r w:rsidRPr="00924BC6">
              <w:rPr>
                <w:rFonts w:ascii="Times New Roman" w:hAnsi="Times New Roman"/>
              </w:rPr>
              <w:t>.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2</w:t>
            </w:r>
          </w:p>
        </w:tc>
        <w:tc>
          <w:tcPr>
            <w:tcW w:w="772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</w:t>
            </w: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Заключенное соглашение о перераспределении максимальной мощности</w:t>
            </w: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 с пакетом необходимых документов. Рассмотрение уведомления на предмет полноты сведений и пакета необходимых документов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Уведомление в письменной форме направляется 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color w:val="000000"/>
                <w:lang w:eastAsia="ru-RU"/>
              </w:rPr>
              <w:t>6 рабочих дней с даты регистрации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3</w:t>
            </w:r>
          </w:p>
        </w:tc>
        <w:tc>
          <w:tcPr>
            <w:tcW w:w="7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Сетевая организация направляет копию уведомления субъекту оперативно-диспетчерского управления</w:t>
            </w: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В следующих случаях: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- технические условия, подлежат согласованию с субъектом оперативно-диспетчерского управления;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- технические условия, ранее выданные лицу, максимальная мощность энергопринимающих устройств которого перераспределяется, были согласованы с субъектом оперативно-диспетчерского управления</w:t>
            </w: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Сетевая организация направляет копию уведомления субъекту оперативно-диспетчерского управления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в течение 5 рабочих дней со дня получения уведомления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vMerge w:val="restart"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4</w:t>
            </w:r>
          </w:p>
        </w:tc>
        <w:tc>
          <w:tcPr>
            <w:tcW w:w="772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Заключение договора об осуществлении технологического присоединения к электрическим сетям с заявителем, в пользу которого перераспределяется мощность</w:t>
            </w: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4.1. </w:t>
            </w:r>
            <w:r w:rsidRPr="00924BC6">
              <w:rPr>
                <w:rFonts w:ascii="Times New Roman" w:hAnsi="Times New Roman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Уведомление в письменной форме направляется 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4.2.</w:t>
            </w:r>
            <w:r w:rsidRPr="00924BC6">
              <w:rPr>
                <w:rFonts w:ascii="Times New Roman" w:hAnsi="Times New Roman"/>
                <w:lang w:eastAsia="ru-RU"/>
              </w:rPr>
              <w:t> Направление (выдача при очном посещении офиса обслуживания)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30 дней с даты  получения уведомления или недостающих сведений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-</w:t>
            </w:r>
            <w:r w:rsidRPr="00924BC6">
              <w:rPr>
                <w:rFonts w:ascii="Times New Roman" w:hAnsi="Times New Roman"/>
              </w:rPr>
              <w:t xml:space="preserve"> не позднее 3 рабочих дней со дня согласования с системным оператором техусловий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4.3</w:t>
            </w:r>
            <w:r w:rsidRPr="00924BC6">
              <w:rPr>
                <w:rFonts w:ascii="Times New Roman" w:hAnsi="Times New Roman"/>
                <w:lang w:eastAsia="ru-RU"/>
              </w:rPr>
              <w:t>. П</w:t>
            </w:r>
            <w:r w:rsidRPr="00924BC6">
              <w:rPr>
                <w:rFonts w:ascii="Times New Roman" w:hAnsi="Times New Roman"/>
              </w:rPr>
              <w:t>одписание заявителем двух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30 дней со  дня получения заявителем проекта договора.</w:t>
            </w:r>
          </w:p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В случае ненаправления  подписанного проекта договора  либо мотивированного отказа от его подписания через 60 дней  –  заявка аннулируется.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В случае несогласия заявителя с представленным сетевой организацией проектом договора и (или) несоответствия его Правилам 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4.4.</w:t>
            </w:r>
            <w:r w:rsidRPr="00924BC6">
              <w:rPr>
                <w:rFonts w:ascii="Times New Roman" w:hAnsi="Times New Roman"/>
              </w:rPr>
      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Письменная форма мотивированного отказа, направляется 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в течение 30 дней со дня получения подписанного сетевой организацией проекта договора и технических условий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 xml:space="preserve">4.5. </w:t>
            </w:r>
            <w:r w:rsidRPr="00924BC6">
              <w:rPr>
                <w:rFonts w:ascii="Times New Roman" w:hAnsi="Times New Roman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5 рабочих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86"/>
        </w:trPr>
        <w:tc>
          <w:tcPr>
            <w:tcW w:w="1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5</w:t>
            </w:r>
          </w:p>
        </w:tc>
        <w:tc>
          <w:tcPr>
            <w:tcW w:w="7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Сетевая организация направляет лицу, максимальная мощность которого перераспределяется, информацию об изменениях в ранее выданные ему технические условия </w:t>
            </w: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случае технические условия подлежат согласованию с субъектом оперативно-диспетчерского управления, предварительно сетевая организация проводит согласование с субъектом оперативно-диспетчерского управления и срок продлевается на срок согласования изменений, внесенных в технические условия.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не позднее 10 рабочих дней со дня выдачи технических условий лицу, в пользу которого перераспределяется максимальная мощность. </w:t>
            </w:r>
          </w:p>
          <w:p w:rsidR="00DB5EBD" w:rsidRPr="00924BC6" w:rsidRDefault="00DB5EBD" w:rsidP="00924BC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38 Правил технологического присоединения энергопринимающих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 w:val="restart"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</w:t>
            </w:r>
          </w:p>
        </w:tc>
        <w:tc>
          <w:tcPr>
            <w:tcW w:w="772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2" w:type="pct"/>
            <w:vMerge w:val="restar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Заключенный договор об осуществлении технологического присоединения с заявителем, в пользу которого перераспределяется мощность</w:t>
            </w: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6.1</w:t>
            </w:r>
            <w:r w:rsidRPr="00924BC6">
              <w:rPr>
                <w:rFonts w:ascii="Times New Roman" w:hAnsi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vMerge w:val="restar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Пункты 16 (3), 17, 18, 38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6.2</w:t>
            </w:r>
            <w:r w:rsidRPr="00924BC6">
              <w:rPr>
                <w:rFonts w:ascii="Times New Roman" w:hAnsi="Times New Roman"/>
                <w:lang w:eastAsia="ru-RU"/>
              </w:rPr>
              <w:t>. </w:t>
            </w:r>
            <w:r w:rsidRPr="00924BC6">
              <w:rPr>
                <w:rFonts w:ascii="Times New Roman" w:hAnsi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  <w:vMerge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6.3</w:t>
            </w:r>
            <w:r w:rsidRPr="00924BC6">
              <w:rPr>
                <w:rFonts w:ascii="Times New Roman" w:hAnsi="Times New Roman"/>
                <w:lang w:eastAsia="ru-RU"/>
              </w:rPr>
              <w:t xml:space="preserve">. Выполнение заявителем, мощность которого перераспределяется, мероприятий по уменьшению мощности энергопринимающих устройств в соответствии с техническими условиями 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lang w:eastAsia="ru-RU"/>
              </w:rPr>
              <w:t>До завершения срока осуществления мероприятий по присоединению энергопринимающих устройств лица, в пользу которого перераспределяется мощность</w:t>
            </w:r>
          </w:p>
        </w:tc>
        <w:tc>
          <w:tcPr>
            <w:tcW w:w="945" w:type="pct"/>
            <w:vMerge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6.4</w:t>
            </w:r>
            <w:r w:rsidRPr="00924BC6">
              <w:rPr>
                <w:rFonts w:ascii="Times New Roman" w:hAnsi="Times New Roman"/>
                <w:lang w:eastAsia="ru-RU"/>
              </w:rPr>
              <w:t>. </w:t>
            </w:r>
            <w:r w:rsidRPr="00924BC6">
              <w:rPr>
                <w:rFonts w:ascii="Times New Roman" w:hAnsi="Times New Roman"/>
              </w:rPr>
              <w:t>Выполнение заявителем, в пользу которого перераспределяется мощность, мероприятий, предусмотренных договором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  <w:vMerge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6.5</w:t>
            </w:r>
            <w:r w:rsidRPr="00924BC6">
              <w:rPr>
                <w:rFonts w:ascii="Times New Roman" w:hAnsi="Times New Roman"/>
                <w:lang w:eastAsia="ru-RU"/>
              </w:rPr>
              <w:t>. </w:t>
            </w:r>
            <w:r w:rsidRPr="00924BC6">
              <w:rPr>
                <w:rFonts w:ascii="Times New Roman" w:hAnsi="Times New Roman"/>
              </w:rPr>
              <w:t>Направление уведомления заявителем, в пользу которого перераспределяется мощность, сетевой организации о выполнении технических условий с пакетом необходимых документов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После выполнения технических условий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6.6</w:t>
            </w:r>
            <w:r w:rsidRPr="00924BC6">
              <w:rPr>
                <w:rFonts w:ascii="Times New Roman" w:hAnsi="Times New Roman"/>
                <w:lang w:eastAsia="ru-RU"/>
              </w:rPr>
              <w:t>.Направление с</w:t>
            </w:r>
            <w:r w:rsidRPr="00924BC6">
              <w:rPr>
                <w:rFonts w:ascii="Times New Roman" w:hAnsi="Times New Roman"/>
              </w:rPr>
              <w:t>етевой  организацией уведомления о готовности заявителя к проверке выполнения технических условий субъекту оперативно-диспетчерского управления копии  уведомления и приложенных к нему документов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Копии уведомления заявителя с необходимым пакетом документов </w:t>
            </w:r>
            <w:r w:rsidRPr="00924BC6">
              <w:rPr>
                <w:rFonts w:ascii="Times New Roman" w:hAnsi="Times New Roman"/>
                <w:lang w:eastAsia="ru-RU"/>
              </w:rPr>
              <w:t>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течение 2 дней со дня получения от заявителя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 w:val="restart"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</w:t>
            </w:r>
          </w:p>
        </w:tc>
        <w:tc>
          <w:tcPr>
            <w:tcW w:w="772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Проверка выполнения технических условий</w:t>
            </w: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7.1.</w:t>
            </w:r>
            <w:r w:rsidRPr="00924BC6">
              <w:rPr>
                <w:rFonts w:ascii="Times New Roman" w:hAnsi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Акт о выполнении технических условий. При невыполнении требований технических условий сетевая организация в письменной форме уведомляет об этом заявителя.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течение 10 дней со дня получения от заявителя документов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Пункты 83-90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7.2.</w:t>
            </w:r>
            <w:r w:rsidRPr="00924BC6">
              <w:rPr>
                <w:rFonts w:ascii="Times New Roman" w:hAnsi="Times New Roman"/>
              </w:rPr>
              <w:t> Согласование о выполнении технических условий  с субъектом оперативно-диспетчерского управления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924BC6">
              <w:rPr>
                <w:rFonts w:ascii="Times New Roman" w:hAnsi="Times New Roman"/>
              </w:rPr>
              <w:t>Согласованный Акт о выполнении технических условий.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7.3.</w:t>
            </w:r>
            <w:r w:rsidRPr="00924BC6">
              <w:rPr>
                <w:rFonts w:ascii="Times New Roman" w:hAnsi="Times New Roman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в течение 5 дней со дня оформления акта о выполнении технических условий 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Пункты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7.4.</w:t>
            </w:r>
            <w:r w:rsidRPr="00924BC6">
              <w:rPr>
                <w:rFonts w:ascii="Times New Roman" w:hAnsi="Times New Roman"/>
              </w:rPr>
              <w:t xml:space="preserve"> Повторный осмотр электроустановки заявителя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Акт о выполнении технических условий.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устранению.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7.5.</w:t>
            </w:r>
            <w:r w:rsidRPr="00924BC6">
              <w:rPr>
                <w:rFonts w:ascii="Times New Roman" w:hAnsi="Times New Roman"/>
              </w:rPr>
              <w:t xml:space="preserve"> Прием в эксплуатацию прибора учета.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7" w:history="1">
              <w:r w:rsidRPr="00924BC6">
                <w:rPr>
                  <w:rFonts w:ascii="Times New Roman" w:hAnsi="Times New Roman"/>
                </w:rPr>
                <w:t>Акт</w:t>
              </w:r>
            </w:hyperlink>
            <w:r w:rsidRPr="00924BC6">
              <w:rPr>
                <w:rFonts w:ascii="Times New Roman" w:hAnsi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день проведения проверки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lang w:eastAsia="ru-RU"/>
              </w:rPr>
              <w:t>Раздел Х</w:t>
            </w:r>
            <w:r w:rsidRPr="00924BC6">
              <w:t xml:space="preserve"> </w:t>
            </w:r>
            <w:r w:rsidRPr="00924BC6">
              <w:rPr>
                <w:rFonts w:ascii="Times New Roman" w:hAnsi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924BC6">
              <w:rPr>
                <w:rStyle w:val="FootnoteReference"/>
                <w:rFonts w:ascii="Times New Roman" w:hAnsi="Times New Roman"/>
                <w:lang w:eastAsia="ru-RU"/>
              </w:rPr>
              <w:footnoteReference w:id="2"/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2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4BC6">
              <w:rPr>
                <w:rFonts w:ascii="Times New Roman" w:hAnsi="Times New Roman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7.6.</w:t>
            </w:r>
            <w:r w:rsidRPr="00924BC6">
              <w:rPr>
                <w:rFonts w:ascii="Times New Roman" w:hAnsi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Акт о выполнении технических условий в письменной форме направляется  </w:t>
            </w:r>
            <w:r w:rsidRPr="00924BC6">
              <w:rPr>
                <w:rFonts w:ascii="Times New Roman" w:hAnsi="Times New Roman"/>
                <w:lang w:eastAsia="ru-RU"/>
              </w:rPr>
              <w:t>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3-дневный срок после проведения осмотра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2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 xml:space="preserve">7.7. </w:t>
            </w:r>
            <w:r w:rsidRPr="00924BC6">
              <w:rPr>
                <w:rFonts w:ascii="Times New Roman" w:hAnsi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Подписанный Акт о выполнении технических условий в письменной форме направляется  </w:t>
            </w:r>
            <w:r w:rsidRPr="00924BC6">
              <w:rPr>
                <w:rFonts w:ascii="Times New Roman" w:hAnsi="Times New Roman"/>
                <w:lang w:eastAsia="ru-RU"/>
              </w:rPr>
              <w:t>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151"/>
        </w:trPr>
        <w:tc>
          <w:tcPr>
            <w:tcW w:w="165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</w:t>
            </w:r>
          </w:p>
        </w:tc>
        <w:tc>
          <w:tcPr>
            <w:tcW w:w="772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Присоединение объектов заявителя и подписание акта, подтверждающего  технологическое присоединение</w:t>
            </w:r>
          </w:p>
        </w:tc>
        <w:tc>
          <w:tcPr>
            <w:tcW w:w="792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6.1</w:t>
            </w:r>
            <w:r w:rsidRPr="00924BC6">
              <w:rPr>
                <w:rFonts w:ascii="Times New Roman" w:hAnsi="Times New Roman"/>
              </w:rPr>
              <w:t> Фактическое присоединение объектов заявителя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</w:t>
            </w:r>
            <w:bookmarkStart w:id="0" w:name="_GoBack"/>
            <w:bookmarkEnd w:id="0"/>
            <w:r w:rsidRPr="00924BC6">
              <w:rPr>
                <w:rFonts w:ascii="Times New Roman" w:hAnsi="Times New Roman"/>
              </w:rPr>
              <w:t xml:space="preserve"> 7 (д)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270"/>
        </w:trPr>
        <w:tc>
          <w:tcPr>
            <w:tcW w:w="165" w:type="pct"/>
            <w:vMerge/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2" w:type="pct"/>
            <w:vMerge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6.2.</w:t>
            </w:r>
            <w:r w:rsidRPr="00924BC6">
              <w:rPr>
                <w:rFonts w:ascii="Times New Roman" w:hAnsi="Times New Roman"/>
              </w:rPr>
              <w:t xml:space="preserve"> Оформление сетевой организации и направление (выдача) заявителю Акта об осуществлении технологического присоединения.</w:t>
            </w:r>
          </w:p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6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 xml:space="preserve">Подписанный со стороны сетевой организации Акт  в письменной форме направляется  </w:t>
            </w:r>
            <w:r w:rsidRPr="00924BC6">
              <w:rPr>
                <w:rFonts w:ascii="Times New Roman" w:hAnsi="Times New Roman"/>
                <w:lang w:eastAsia="ru-RU"/>
              </w:rPr>
              <w:t>способом</w:t>
            </w:r>
            <w:r w:rsidRPr="00924BC6">
              <w:rPr>
                <w:rFonts w:ascii="Times New Roman" w:hAnsi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4" w:type="pct"/>
            <w:tcBorders>
              <w:left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ind w:left="-16" w:hanging="16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DB5EBD" w:rsidRPr="00924BC6" w:rsidTr="00924BC6">
        <w:trPr>
          <w:trHeight w:val="695"/>
        </w:trPr>
        <w:tc>
          <w:tcPr>
            <w:tcW w:w="165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2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7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BC6">
              <w:rPr>
                <w:rFonts w:ascii="Times New Roman" w:hAnsi="Times New Roman"/>
                <w:b/>
                <w:bCs/>
                <w:color w:val="548DD4"/>
                <w:lang w:eastAsia="ru-RU"/>
              </w:rPr>
              <w:t>6.3.</w:t>
            </w:r>
            <w:r w:rsidRPr="00924BC6">
              <w:rPr>
                <w:rFonts w:ascii="Times New Roman" w:hAnsi="Times New Roman"/>
              </w:rPr>
              <w:t xml:space="preserve"> Направление сетевой организацией подписанного с  заявителем акта в энергосбытовую организацию </w:t>
            </w:r>
          </w:p>
        </w:tc>
        <w:tc>
          <w:tcPr>
            <w:tcW w:w="66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autoSpaceDE w:val="0"/>
              <w:autoSpaceDN w:val="0"/>
              <w:adjustRightInd w:val="0"/>
              <w:spacing w:after="0" w:line="240" w:lineRule="auto"/>
              <w:outlineLvl w:val="0"/>
            </w:pPr>
            <w:r w:rsidRPr="00924BC6">
              <w:rPr>
                <w:rFonts w:ascii="Times New Roman" w:hAnsi="Times New Roman"/>
              </w:rPr>
              <w:t>В письменной или электронной форме</w:t>
            </w:r>
          </w:p>
        </w:tc>
        <w:tc>
          <w:tcPr>
            <w:tcW w:w="614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</w:pPr>
            <w:r w:rsidRPr="00924BC6">
              <w:rPr>
                <w:rFonts w:ascii="Times New Roman" w:hAnsi="Times New Roman"/>
              </w:rPr>
              <w:t>В течение 2 рабочих дней после предоставления подписанного  заявителем акта в сетевую организацию.</w:t>
            </w:r>
          </w:p>
        </w:tc>
        <w:tc>
          <w:tcPr>
            <w:tcW w:w="945" w:type="pct"/>
            <w:tcBorders>
              <w:top w:val="single" w:sz="8" w:space="0" w:color="4F81BD"/>
              <w:bottom w:val="single" w:sz="8" w:space="0" w:color="4F81BD"/>
            </w:tcBorders>
          </w:tcPr>
          <w:p w:rsidR="00DB5EBD" w:rsidRPr="00924BC6" w:rsidRDefault="00DB5EBD" w:rsidP="00924BC6">
            <w:pPr>
              <w:spacing w:after="0" w:line="240" w:lineRule="auto"/>
            </w:pPr>
            <w:r w:rsidRPr="00924BC6">
              <w:rPr>
                <w:rFonts w:ascii="Times New Roman" w:hAnsi="Times New Roman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DB5EBD" w:rsidRDefault="00DB5EBD" w:rsidP="00D679FC">
      <w:pPr>
        <w:spacing w:after="60" w:line="240" w:lineRule="auto"/>
        <w:jc w:val="both"/>
        <w:outlineLvl w:val="0"/>
        <w:rPr>
          <w:rFonts w:ascii="Times New Roman" w:hAnsi="Times New Roman"/>
          <w:b/>
          <w:color w:val="548DD4"/>
          <w:sz w:val="24"/>
          <w:szCs w:val="24"/>
        </w:rPr>
      </w:pPr>
    </w:p>
    <w:p w:rsidR="00DB5EBD" w:rsidRDefault="00DB5EBD" w:rsidP="00041EE4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6A0ECD">
        <w:rPr>
          <w:rFonts w:ascii="Times New Roman" w:hAnsi="Times New Roman"/>
          <w:b/>
          <w:color w:val="548DD4"/>
          <w:sz w:val="24"/>
          <w:szCs w:val="24"/>
        </w:rPr>
        <w:t>КОНТАКТНАЯ ИНФОРМАЦИЯ ДЛЯ НАПРАВЛЕНИЯ ОБРАЩЕНИЙ:</w:t>
      </w:r>
      <w:r w:rsidRPr="006A0ECD">
        <w:rPr>
          <w:rFonts w:ascii="Times New Roman" w:hAnsi="Times New Roman"/>
          <w:sz w:val="24"/>
          <w:szCs w:val="24"/>
        </w:rPr>
        <w:t xml:space="preserve"> </w:t>
      </w:r>
    </w:p>
    <w:p w:rsidR="00DB5EBD" w:rsidRPr="006A0ECD" w:rsidRDefault="00DB5EBD" w:rsidP="0022758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Номер </w:t>
      </w:r>
      <w:r>
        <w:rPr>
          <w:rFonts w:ascii="Times New Roman" w:hAnsi="Times New Roman"/>
          <w:sz w:val="24"/>
          <w:szCs w:val="24"/>
          <w:lang w:val="en-US"/>
        </w:rPr>
        <w:t>Call</w:t>
      </w:r>
      <w:r w:rsidRPr="0018548F">
        <w:rPr>
          <w:rFonts w:ascii="Times New Roman" w:hAnsi="Times New Roman"/>
          <w:sz w:val="24"/>
          <w:szCs w:val="24"/>
        </w:rPr>
        <w:t>-</w:t>
      </w:r>
      <w:r w:rsidRPr="006A0ECD">
        <w:rPr>
          <w:rFonts w:ascii="Times New Roman" w:hAnsi="Times New Roman"/>
          <w:sz w:val="24"/>
          <w:szCs w:val="24"/>
        </w:rPr>
        <w:t xml:space="preserve">центра </w:t>
      </w:r>
      <w:r>
        <w:rPr>
          <w:rFonts w:ascii="Times New Roman" w:hAnsi="Times New Roman"/>
          <w:sz w:val="24"/>
          <w:szCs w:val="24"/>
        </w:rPr>
        <w:t>ФГУ «Краснодарское водохранилище»</w:t>
      </w:r>
      <w:r w:rsidRPr="006A0E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51854">
        <w:rPr>
          <w:rFonts w:ascii="Roboto-Regular" w:hAnsi="Roboto-Regular"/>
          <w:color w:val="231F20"/>
          <w:shd w:val="clear" w:color="auto" w:fill="FFFFFF"/>
        </w:rPr>
        <w:t xml:space="preserve">8 </w:t>
      </w:r>
      <w:r>
        <w:rPr>
          <w:rFonts w:ascii="Roboto-Regular" w:hAnsi="Roboto-Regular"/>
          <w:color w:val="231F20"/>
          <w:shd w:val="clear" w:color="auto" w:fill="FFFFFF"/>
        </w:rPr>
        <w:t>(861) 237-53-81</w:t>
      </w:r>
    </w:p>
    <w:p w:rsidR="00DB5EBD" w:rsidRPr="00751854" w:rsidRDefault="00DB5EBD" w:rsidP="0022758C">
      <w:pPr>
        <w:autoSpaceDE w:val="0"/>
        <w:autoSpaceDN w:val="0"/>
        <w:adjustRightInd w:val="0"/>
        <w:spacing w:after="60" w:line="240" w:lineRule="auto"/>
        <w:ind w:left="709"/>
        <w:jc w:val="both"/>
        <w:rPr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Адрес электронной почты </w:t>
      </w:r>
      <w:r>
        <w:rPr>
          <w:rFonts w:ascii="Times New Roman" w:hAnsi="Times New Roman"/>
          <w:lang w:eastAsia="ru-RU"/>
        </w:rPr>
        <w:t>ФГУ «Краснодаское водохранилище»</w:t>
      </w:r>
      <w:r w:rsidRPr="00AD6943">
        <w:rPr>
          <w:rFonts w:ascii="Times New Roman" w:hAnsi="Times New Roman"/>
          <w:sz w:val="24"/>
          <w:szCs w:val="24"/>
          <w:lang w:eastAsia="ru-RU"/>
        </w:rPr>
        <w:t>:</w:t>
      </w:r>
      <w:r w:rsidRPr="00AD6943">
        <w:rPr>
          <w:rFonts w:ascii="Times New Roman" w:hAnsi="Times New Roman"/>
          <w:sz w:val="24"/>
          <w:szCs w:val="24"/>
        </w:rPr>
        <w:t xml:space="preserve"> </w:t>
      </w:r>
      <w:r w:rsidRPr="00751854">
        <w:t>fgukv@rambler.ru</w:t>
      </w:r>
    </w:p>
    <w:p w:rsidR="00DB5EBD" w:rsidRPr="006A0ECD" w:rsidRDefault="00DB5EBD" w:rsidP="0022758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6A0ECD">
        <w:rPr>
          <w:rFonts w:ascii="Times New Roman" w:hAnsi="Times New Roman"/>
          <w:sz w:val="24"/>
          <w:szCs w:val="24"/>
        </w:rPr>
        <w:t xml:space="preserve">Адреса Центров обслуживания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6A0EC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Roboto-Regular" w:hAnsi="Roboto-Regular"/>
          <w:color w:val="231F20"/>
          <w:shd w:val="clear" w:color="auto" w:fill="FFFFFF"/>
        </w:rPr>
        <w:t>350080, Россия, Краснодарский край, г.Краснодар, ул. Заводская, 30.</w:t>
      </w:r>
    </w:p>
    <w:p w:rsidR="00DB5EBD" w:rsidRPr="006A0ECD" w:rsidRDefault="00DB5EBD" w:rsidP="00041EE4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B5EBD" w:rsidRPr="006A0ECD" w:rsidSect="000B68EC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EBD" w:rsidRDefault="00DB5EBD" w:rsidP="00DC7CA8">
      <w:pPr>
        <w:spacing w:after="0" w:line="240" w:lineRule="auto"/>
      </w:pPr>
      <w:r>
        <w:separator/>
      </w:r>
    </w:p>
  </w:endnote>
  <w:endnote w:type="continuationSeparator" w:id="0">
    <w:p w:rsidR="00DB5EBD" w:rsidRDefault="00DB5EBD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EBD" w:rsidRDefault="00DB5EBD" w:rsidP="00DC7CA8">
      <w:pPr>
        <w:spacing w:after="0" w:line="240" w:lineRule="auto"/>
      </w:pPr>
      <w:r>
        <w:separator/>
      </w:r>
    </w:p>
  </w:footnote>
  <w:footnote w:type="continuationSeparator" w:id="0">
    <w:p w:rsidR="00DB5EBD" w:rsidRDefault="00DB5EBD" w:rsidP="00DC7CA8">
      <w:pPr>
        <w:spacing w:after="0" w:line="240" w:lineRule="auto"/>
      </w:pPr>
      <w:r>
        <w:continuationSeparator/>
      </w:r>
    </w:p>
  </w:footnote>
  <w:footnote w:id="1">
    <w:p w:rsidR="00DB5EBD" w:rsidRDefault="00DB5EBD" w:rsidP="006C631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B68EC">
        <w:rPr>
          <w:rFonts w:ascii="Times New Roman" w:hAnsi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DB5EBD" w:rsidRDefault="00DB5EBD" w:rsidP="00BA00C5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C8718B">
        <w:rPr>
          <w:rFonts w:ascii="Times New Roman" w:hAnsi="Times New Roman"/>
          <w:sz w:val="24"/>
          <w:szCs w:val="24"/>
          <w:lang w:eastAsia="ru-RU"/>
        </w:rPr>
        <w:t>Основ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C8718B">
        <w:rPr>
          <w:rFonts w:ascii="Times New Roman" w:hAnsi="Times New Roman"/>
          <w:sz w:val="24"/>
          <w:szCs w:val="24"/>
          <w:lang w:eastAsia="ru-RU"/>
        </w:rPr>
        <w:t xml:space="preserve"> функционирования розничных рынков электрической энергии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DC7CA8">
        <w:rPr>
          <w:rFonts w:ascii="Times New Roman" w:hAnsi="Times New Roman"/>
          <w:sz w:val="24"/>
          <w:szCs w:val="24"/>
          <w:lang w:eastAsia="ru-RU"/>
        </w:rPr>
        <w:t xml:space="preserve">утвержденные </w:t>
      </w:r>
      <w:r>
        <w:rPr>
          <w:rFonts w:ascii="Times New Roman" w:hAnsi="Times New Roman"/>
          <w:sz w:val="24"/>
          <w:szCs w:val="24"/>
        </w:rPr>
        <w:t>постановлением Правительства РФ от 04.05.2012 № 442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="Calibri" w:eastAsia="Times New Roman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2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3F9"/>
    <w:rsid w:val="00000CC2"/>
    <w:rsid w:val="00014BAB"/>
    <w:rsid w:val="00022F24"/>
    <w:rsid w:val="0002340B"/>
    <w:rsid w:val="00024926"/>
    <w:rsid w:val="0002598C"/>
    <w:rsid w:val="00026177"/>
    <w:rsid w:val="00040C4F"/>
    <w:rsid w:val="00041EE4"/>
    <w:rsid w:val="0005033A"/>
    <w:rsid w:val="000653F9"/>
    <w:rsid w:val="0007146B"/>
    <w:rsid w:val="000825BA"/>
    <w:rsid w:val="000B68EC"/>
    <w:rsid w:val="000C2731"/>
    <w:rsid w:val="000C3C93"/>
    <w:rsid w:val="000D0D64"/>
    <w:rsid w:val="000E710C"/>
    <w:rsid w:val="000F08EC"/>
    <w:rsid w:val="000F5E23"/>
    <w:rsid w:val="00142EA5"/>
    <w:rsid w:val="001440A2"/>
    <w:rsid w:val="001452AF"/>
    <w:rsid w:val="001533DF"/>
    <w:rsid w:val="00162045"/>
    <w:rsid w:val="00164660"/>
    <w:rsid w:val="00166D9F"/>
    <w:rsid w:val="00182892"/>
    <w:rsid w:val="0018548F"/>
    <w:rsid w:val="00187BF5"/>
    <w:rsid w:val="0019014D"/>
    <w:rsid w:val="00195358"/>
    <w:rsid w:val="001B3771"/>
    <w:rsid w:val="001D45A0"/>
    <w:rsid w:val="00206CD3"/>
    <w:rsid w:val="0022758C"/>
    <w:rsid w:val="0022778E"/>
    <w:rsid w:val="00231805"/>
    <w:rsid w:val="00233155"/>
    <w:rsid w:val="00242530"/>
    <w:rsid w:val="00251BEC"/>
    <w:rsid w:val="00263724"/>
    <w:rsid w:val="0029622E"/>
    <w:rsid w:val="002963F2"/>
    <w:rsid w:val="002978AF"/>
    <w:rsid w:val="002A16A3"/>
    <w:rsid w:val="002A3BA1"/>
    <w:rsid w:val="002A4954"/>
    <w:rsid w:val="002A5552"/>
    <w:rsid w:val="002B0512"/>
    <w:rsid w:val="002B7649"/>
    <w:rsid w:val="002C24EC"/>
    <w:rsid w:val="002C56E2"/>
    <w:rsid w:val="002D6186"/>
    <w:rsid w:val="0032200A"/>
    <w:rsid w:val="0032230E"/>
    <w:rsid w:val="00326913"/>
    <w:rsid w:val="003415C0"/>
    <w:rsid w:val="00347A15"/>
    <w:rsid w:val="00366A29"/>
    <w:rsid w:val="0037161F"/>
    <w:rsid w:val="003A6292"/>
    <w:rsid w:val="003B555E"/>
    <w:rsid w:val="003B6F93"/>
    <w:rsid w:val="003C556E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6DA0"/>
    <w:rsid w:val="00435E89"/>
    <w:rsid w:val="00442712"/>
    <w:rsid w:val="00443775"/>
    <w:rsid w:val="00465E7F"/>
    <w:rsid w:val="00470EB5"/>
    <w:rsid w:val="004A0532"/>
    <w:rsid w:val="004A4D60"/>
    <w:rsid w:val="004B0BFE"/>
    <w:rsid w:val="004B75E4"/>
    <w:rsid w:val="004C20C2"/>
    <w:rsid w:val="004D2FC8"/>
    <w:rsid w:val="004F04CD"/>
    <w:rsid w:val="004F68F4"/>
    <w:rsid w:val="0051045A"/>
    <w:rsid w:val="0051352D"/>
    <w:rsid w:val="00524428"/>
    <w:rsid w:val="00533EE1"/>
    <w:rsid w:val="00534E9A"/>
    <w:rsid w:val="0054414B"/>
    <w:rsid w:val="00557796"/>
    <w:rsid w:val="0056708F"/>
    <w:rsid w:val="0058149F"/>
    <w:rsid w:val="00582A36"/>
    <w:rsid w:val="00584BD8"/>
    <w:rsid w:val="005B627E"/>
    <w:rsid w:val="005C22A7"/>
    <w:rsid w:val="005D7FE7"/>
    <w:rsid w:val="005E4974"/>
    <w:rsid w:val="005E5AAE"/>
    <w:rsid w:val="005F2F3E"/>
    <w:rsid w:val="00600ADE"/>
    <w:rsid w:val="00603301"/>
    <w:rsid w:val="00603CF2"/>
    <w:rsid w:val="006047AA"/>
    <w:rsid w:val="00614532"/>
    <w:rsid w:val="00620C3D"/>
    <w:rsid w:val="006308A8"/>
    <w:rsid w:val="00640439"/>
    <w:rsid w:val="0065173C"/>
    <w:rsid w:val="00664ED5"/>
    <w:rsid w:val="00666E7C"/>
    <w:rsid w:val="00675DBB"/>
    <w:rsid w:val="00677F5A"/>
    <w:rsid w:val="00690D12"/>
    <w:rsid w:val="00693797"/>
    <w:rsid w:val="006967D4"/>
    <w:rsid w:val="006A0ECD"/>
    <w:rsid w:val="006A3ACA"/>
    <w:rsid w:val="006C07BA"/>
    <w:rsid w:val="006C6316"/>
    <w:rsid w:val="006D2EDE"/>
    <w:rsid w:val="006E11C6"/>
    <w:rsid w:val="006E41A4"/>
    <w:rsid w:val="006F2514"/>
    <w:rsid w:val="006F446F"/>
    <w:rsid w:val="0070128B"/>
    <w:rsid w:val="00751854"/>
    <w:rsid w:val="00762B2B"/>
    <w:rsid w:val="00776C32"/>
    <w:rsid w:val="00776F8A"/>
    <w:rsid w:val="0078335E"/>
    <w:rsid w:val="007877ED"/>
    <w:rsid w:val="007919F1"/>
    <w:rsid w:val="007A2C8F"/>
    <w:rsid w:val="007C4094"/>
    <w:rsid w:val="007C5088"/>
    <w:rsid w:val="007E41FA"/>
    <w:rsid w:val="00806C78"/>
    <w:rsid w:val="008117CC"/>
    <w:rsid w:val="00823FF3"/>
    <w:rsid w:val="00824E68"/>
    <w:rsid w:val="008254DA"/>
    <w:rsid w:val="0082713E"/>
    <w:rsid w:val="00863174"/>
    <w:rsid w:val="0086326F"/>
    <w:rsid w:val="00872538"/>
    <w:rsid w:val="00885D40"/>
    <w:rsid w:val="00886607"/>
    <w:rsid w:val="008967F8"/>
    <w:rsid w:val="008C2E25"/>
    <w:rsid w:val="008C64E4"/>
    <w:rsid w:val="008C7932"/>
    <w:rsid w:val="008D2E8D"/>
    <w:rsid w:val="008E16CB"/>
    <w:rsid w:val="008F4647"/>
    <w:rsid w:val="009001F4"/>
    <w:rsid w:val="00904E58"/>
    <w:rsid w:val="00915341"/>
    <w:rsid w:val="00924BC6"/>
    <w:rsid w:val="009303FD"/>
    <w:rsid w:val="00970993"/>
    <w:rsid w:val="00996EEC"/>
    <w:rsid w:val="009A06BF"/>
    <w:rsid w:val="009A53E9"/>
    <w:rsid w:val="009B27EC"/>
    <w:rsid w:val="009D7322"/>
    <w:rsid w:val="00A22C5F"/>
    <w:rsid w:val="00A44E14"/>
    <w:rsid w:val="00A45444"/>
    <w:rsid w:val="00A474DD"/>
    <w:rsid w:val="00A61E75"/>
    <w:rsid w:val="00A705D8"/>
    <w:rsid w:val="00A9404F"/>
    <w:rsid w:val="00A947AF"/>
    <w:rsid w:val="00AD6943"/>
    <w:rsid w:val="00AE08E3"/>
    <w:rsid w:val="00AF67C0"/>
    <w:rsid w:val="00B04094"/>
    <w:rsid w:val="00B062AF"/>
    <w:rsid w:val="00B118E9"/>
    <w:rsid w:val="00B26234"/>
    <w:rsid w:val="00B40D8E"/>
    <w:rsid w:val="00B5258D"/>
    <w:rsid w:val="00B564E5"/>
    <w:rsid w:val="00B6111E"/>
    <w:rsid w:val="00B8308D"/>
    <w:rsid w:val="00B84849"/>
    <w:rsid w:val="00BA00C5"/>
    <w:rsid w:val="00BA531D"/>
    <w:rsid w:val="00BA7F88"/>
    <w:rsid w:val="00BB4032"/>
    <w:rsid w:val="00BB7AE2"/>
    <w:rsid w:val="00BD043D"/>
    <w:rsid w:val="00BD087E"/>
    <w:rsid w:val="00BE7298"/>
    <w:rsid w:val="00C02B7A"/>
    <w:rsid w:val="00C05A4F"/>
    <w:rsid w:val="00C20511"/>
    <w:rsid w:val="00C2064F"/>
    <w:rsid w:val="00C25F4B"/>
    <w:rsid w:val="00C277C7"/>
    <w:rsid w:val="00C31515"/>
    <w:rsid w:val="00C379FF"/>
    <w:rsid w:val="00C458B0"/>
    <w:rsid w:val="00C514F8"/>
    <w:rsid w:val="00C63ED8"/>
    <w:rsid w:val="00C7174A"/>
    <w:rsid w:val="00C738BE"/>
    <w:rsid w:val="00C74D96"/>
    <w:rsid w:val="00C75E65"/>
    <w:rsid w:val="00C8718B"/>
    <w:rsid w:val="00CA183B"/>
    <w:rsid w:val="00CA1E91"/>
    <w:rsid w:val="00CC1A0A"/>
    <w:rsid w:val="00CC211B"/>
    <w:rsid w:val="00CE60B3"/>
    <w:rsid w:val="00CF1785"/>
    <w:rsid w:val="00D1019A"/>
    <w:rsid w:val="00D34055"/>
    <w:rsid w:val="00D34C8D"/>
    <w:rsid w:val="00D37687"/>
    <w:rsid w:val="00D47D80"/>
    <w:rsid w:val="00D50CC7"/>
    <w:rsid w:val="00D679FC"/>
    <w:rsid w:val="00D73C9D"/>
    <w:rsid w:val="00DB35EB"/>
    <w:rsid w:val="00DB5EBD"/>
    <w:rsid w:val="00DB69AA"/>
    <w:rsid w:val="00DC03DD"/>
    <w:rsid w:val="00DC7CA8"/>
    <w:rsid w:val="00DD0EF0"/>
    <w:rsid w:val="00DD5A5D"/>
    <w:rsid w:val="00E01206"/>
    <w:rsid w:val="00E12F07"/>
    <w:rsid w:val="00E20DAF"/>
    <w:rsid w:val="00E32725"/>
    <w:rsid w:val="00E36F56"/>
    <w:rsid w:val="00E46E6E"/>
    <w:rsid w:val="00E5056E"/>
    <w:rsid w:val="00E53D9B"/>
    <w:rsid w:val="00E557B2"/>
    <w:rsid w:val="00E70070"/>
    <w:rsid w:val="00E70F7F"/>
    <w:rsid w:val="00EA53BE"/>
    <w:rsid w:val="00EB4034"/>
    <w:rsid w:val="00EC6F80"/>
    <w:rsid w:val="00ED42E7"/>
    <w:rsid w:val="00EE2C63"/>
    <w:rsid w:val="00EF0C68"/>
    <w:rsid w:val="00F1150F"/>
    <w:rsid w:val="00F22B39"/>
    <w:rsid w:val="00F24992"/>
    <w:rsid w:val="00F24D6B"/>
    <w:rsid w:val="00F30DAA"/>
    <w:rsid w:val="00F4184B"/>
    <w:rsid w:val="00F4469B"/>
    <w:rsid w:val="00F539EC"/>
    <w:rsid w:val="00F87578"/>
    <w:rsid w:val="00FA6398"/>
    <w:rsid w:val="00FC139B"/>
    <w:rsid w:val="00FC1E5A"/>
    <w:rsid w:val="00FC33E3"/>
    <w:rsid w:val="00FD004F"/>
    <w:rsid w:val="00FE0A69"/>
    <w:rsid w:val="00FF1355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7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5A4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5A4F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0653F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666E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91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022F24"/>
    <w:rPr>
      <w:rFonts w:cs="Times New Roman"/>
      <w:b/>
      <w:bCs/>
    </w:rPr>
  </w:style>
  <w:style w:type="paragraph" w:customStyle="1" w:styleId="Default">
    <w:name w:val="Default"/>
    <w:uiPriority w:val="99"/>
    <w:rsid w:val="00E36F5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84B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4B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84BD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84B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84BD8"/>
    <w:rPr>
      <w:b/>
      <w:bCs/>
    </w:rPr>
  </w:style>
  <w:style w:type="table" w:customStyle="1" w:styleId="-11">
    <w:name w:val="Светлая заливка - Акцент 11"/>
    <w:uiPriority w:val="99"/>
    <w:rsid w:val="008C2E2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DC7C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C7CA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C7CA8"/>
    <w:rPr>
      <w:rFonts w:cs="Times New Roman"/>
      <w:vertAlign w:val="superscript"/>
    </w:rPr>
  </w:style>
  <w:style w:type="table" w:customStyle="1" w:styleId="-110">
    <w:name w:val="Светлый список - Акцент 11"/>
    <w:uiPriority w:val="99"/>
    <w:rsid w:val="00DC7CA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79FC"/>
    <w:rPr>
      <w:rFonts w:ascii="Tahoma" w:hAnsi="Tahoma" w:cs="Tahoma"/>
      <w:sz w:val="16"/>
      <w:szCs w:val="16"/>
    </w:rPr>
  </w:style>
  <w:style w:type="paragraph" w:customStyle="1" w:styleId="a">
    <w:name w:val="Нормальный (таблица)"/>
    <w:basedOn w:val="Normal"/>
    <w:next w:val="Normal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МРСК_таблица_текст"/>
    <w:basedOn w:val="Normal"/>
    <w:uiPriority w:val="99"/>
    <w:rsid w:val="0040345C"/>
    <w:pPr>
      <w:keepNext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70070"/>
    <w:rPr>
      <w:rFonts w:cs="Times New Roman"/>
    </w:rPr>
  </w:style>
  <w:style w:type="character" w:styleId="Hyperlink">
    <w:name w:val="Hyperlink"/>
    <w:basedOn w:val="DefaultParagraphFont"/>
    <w:uiPriority w:val="99"/>
    <w:rsid w:val="00041EE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06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645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06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10</Pages>
  <Words>2250</Words>
  <Characters>12828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Куличкова Светлана Викторовна</dc:creator>
  <cp:keywords/>
  <dc:description/>
  <cp:lastModifiedBy>Бухгалтер</cp:lastModifiedBy>
  <cp:revision>10</cp:revision>
  <cp:lastPrinted>2014-08-01T10:40:00Z</cp:lastPrinted>
  <dcterms:created xsi:type="dcterms:W3CDTF">2017-10-09T07:19:00Z</dcterms:created>
  <dcterms:modified xsi:type="dcterms:W3CDTF">2017-10-23T07:53:00Z</dcterms:modified>
</cp:coreProperties>
</file>