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A7B" w:rsidRDefault="00835A7B">
      <w:pPr>
        <w:spacing w:after="0" w:line="240" w:lineRule="auto"/>
        <w:jc w:val="center"/>
        <w:rPr>
          <w:rFonts w:ascii="Times New Roman" w:hAnsi="Times New Roman" w:cs="Times New Roman"/>
          <w:b/>
          <w:sz w:val="28"/>
          <w:szCs w:val="28"/>
        </w:rPr>
      </w:pPr>
    </w:p>
    <w:p w:rsidR="00835A7B" w:rsidRPr="00F110CA" w:rsidRDefault="00F110CA">
      <w:pPr>
        <w:spacing w:after="0" w:line="240" w:lineRule="auto"/>
        <w:jc w:val="center"/>
        <w:rPr>
          <w:rFonts w:ascii="Times New Roman" w:hAnsi="Times New Roman" w:cs="Times New Roman"/>
          <w:b/>
          <w:sz w:val="26"/>
          <w:szCs w:val="26"/>
        </w:rPr>
      </w:pPr>
      <w:r w:rsidRPr="00F110CA">
        <w:rPr>
          <w:rFonts w:ascii="Times New Roman" w:hAnsi="Times New Roman" w:cs="Times New Roman"/>
          <w:b/>
          <w:sz w:val="26"/>
          <w:szCs w:val="26"/>
        </w:rPr>
        <w:t xml:space="preserve">ПЛАН </w:t>
      </w:r>
    </w:p>
    <w:p w:rsidR="00835A7B" w:rsidRPr="00F110CA" w:rsidRDefault="00F110CA">
      <w:pPr>
        <w:spacing w:after="0" w:line="240" w:lineRule="auto"/>
        <w:jc w:val="center"/>
        <w:rPr>
          <w:rFonts w:ascii="Times New Roman" w:hAnsi="Times New Roman" w:cs="Times New Roman"/>
          <w:b/>
          <w:sz w:val="26"/>
          <w:szCs w:val="26"/>
        </w:rPr>
      </w:pPr>
      <w:r w:rsidRPr="00F110CA">
        <w:rPr>
          <w:rFonts w:ascii="Times New Roman" w:hAnsi="Times New Roman" w:cs="Times New Roman"/>
          <w:b/>
          <w:sz w:val="26"/>
          <w:szCs w:val="26"/>
        </w:rPr>
        <w:t xml:space="preserve"> Федерального государственного бюджетного учреждения «Кубанский центр мониторинга водных объектов»</w:t>
      </w:r>
    </w:p>
    <w:p w:rsidR="00835A7B" w:rsidRPr="00F110CA" w:rsidRDefault="00F110CA">
      <w:pPr>
        <w:spacing w:after="0" w:line="240" w:lineRule="auto"/>
        <w:jc w:val="center"/>
        <w:rPr>
          <w:sz w:val="26"/>
          <w:szCs w:val="26"/>
        </w:rPr>
      </w:pPr>
      <w:r w:rsidRPr="00F110CA">
        <w:rPr>
          <w:rFonts w:ascii="Times New Roman" w:hAnsi="Times New Roman" w:cs="Times New Roman"/>
          <w:b/>
          <w:sz w:val="26"/>
          <w:szCs w:val="26"/>
        </w:rPr>
        <w:t>противодействия коррупции на 2018 – 2020 годы</w:t>
      </w:r>
    </w:p>
    <w:p w:rsidR="00835A7B" w:rsidRDefault="00835A7B">
      <w:pPr>
        <w:spacing w:after="0" w:line="240" w:lineRule="auto"/>
        <w:jc w:val="center"/>
        <w:rPr>
          <w:rFonts w:ascii="Times New Roman" w:hAnsi="Times New Roman" w:cs="Times New Roman"/>
          <w:b/>
          <w:sz w:val="28"/>
          <w:szCs w:val="28"/>
        </w:rPr>
      </w:pPr>
    </w:p>
    <w:p w:rsidR="00835A7B" w:rsidRDefault="00835A7B">
      <w:pPr>
        <w:spacing w:after="0" w:line="240" w:lineRule="auto"/>
        <w:jc w:val="center"/>
        <w:rPr>
          <w:rFonts w:ascii="Times New Roman" w:hAnsi="Times New Roman" w:cs="Times New Roman"/>
          <w:b/>
          <w:sz w:val="28"/>
          <w:szCs w:val="28"/>
        </w:rPr>
      </w:pPr>
    </w:p>
    <w:tbl>
      <w:tblPr>
        <w:tblStyle w:val="ac"/>
        <w:tblW w:w="5000" w:type="pct"/>
        <w:tblLook w:val="04A0" w:firstRow="1" w:lastRow="0" w:firstColumn="1" w:lastColumn="0" w:noHBand="0" w:noVBand="1"/>
      </w:tblPr>
      <w:tblGrid>
        <w:gridCol w:w="668"/>
        <w:gridCol w:w="4509"/>
        <w:gridCol w:w="3381"/>
        <w:gridCol w:w="2070"/>
        <w:gridCol w:w="4158"/>
      </w:tblGrid>
      <w:tr w:rsidR="00835A7B" w:rsidTr="00F110CA">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п/п</w:t>
            </w:r>
          </w:p>
        </w:tc>
        <w:tc>
          <w:tcPr>
            <w:tcW w:w="4509" w:type="dxa"/>
            <w:shd w:val="clear" w:color="auto" w:fill="auto"/>
          </w:tcPr>
          <w:p w:rsidR="00835A7B" w:rsidRDefault="00F110CA">
            <w:pPr>
              <w:tabs>
                <w:tab w:val="left" w:pos="516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381" w:type="dxa"/>
            <w:shd w:val="clear" w:color="auto" w:fill="auto"/>
          </w:tcPr>
          <w:p w:rsidR="00835A7B" w:rsidRDefault="00F110CA">
            <w:pPr>
              <w:tabs>
                <w:tab w:val="left" w:pos="516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Ответственный исполнитель</w:t>
            </w:r>
          </w:p>
        </w:tc>
        <w:tc>
          <w:tcPr>
            <w:tcW w:w="2070" w:type="dxa"/>
            <w:shd w:val="clear" w:color="auto" w:fill="auto"/>
          </w:tcPr>
          <w:p w:rsidR="00835A7B" w:rsidRDefault="00F110CA">
            <w:pPr>
              <w:tabs>
                <w:tab w:val="left" w:pos="516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Срок исполнения</w:t>
            </w:r>
          </w:p>
        </w:tc>
        <w:tc>
          <w:tcPr>
            <w:tcW w:w="4158" w:type="dxa"/>
            <w:shd w:val="clear" w:color="auto" w:fill="auto"/>
          </w:tcPr>
          <w:p w:rsidR="00835A7B" w:rsidRDefault="00F110CA">
            <w:pPr>
              <w:tabs>
                <w:tab w:val="left" w:pos="5160"/>
              </w:tabs>
              <w:spacing w:after="0" w:line="240" w:lineRule="auto"/>
              <w:contextualSpacing/>
              <w:jc w:val="center"/>
            </w:pPr>
            <w:r>
              <w:rPr>
                <w:rFonts w:ascii="Times New Roman" w:hAnsi="Times New Roman" w:cs="Times New Roman"/>
                <w:b/>
                <w:sz w:val="24"/>
                <w:szCs w:val="24"/>
              </w:rPr>
              <w:t>Ожидаемый результат</w:t>
            </w:r>
          </w:p>
        </w:tc>
      </w:tr>
      <w:tr w:rsidR="00835A7B" w:rsidTr="00F110CA">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p>
        </w:tc>
        <w:tc>
          <w:tcPr>
            <w:tcW w:w="14118" w:type="dxa"/>
            <w:gridSpan w:val="4"/>
            <w:shd w:val="clear" w:color="auto" w:fill="auto"/>
          </w:tcPr>
          <w:p w:rsidR="00835A7B" w:rsidRDefault="00F110CA">
            <w:pPr>
              <w:tabs>
                <w:tab w:val="left" w:pos="5160"/>
              </w:tabs>
              <w:spacing w:after="0" w:line="240" w:lineRule="auto"/>
              <w:contextualSpacing/>
              <w:jc w:val="center"/>
            </w:pPr>
            <w:r>
              <w:rPr>
                <w:rFonts w:ascii="Times New Roman" w:hAnsi="Times New Roman" w:cs="Times New Roman"/>
                <w:b/>
                <w:sz w:val="24"/>
                <w:szCs w:val="24"/>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конфликтов интересов</w:t>
            </w:r>
          </w:p>
        </w:tc>
      </w:tr>
      <w:tr w:rsidR="00835A7B" w:rsidTr="00F110CA">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Совершенствование механизмов реализации требований законодательства Российской Федерации о противодействии коррупции, касающихся предотвращения и урегулирования конфликта интересов в Учреждении</w:t>
            </w:r>
          </w:p>
        </w:tc>
        <w:tc>
          <w:tcPr>
            <w:tcW w:w="3381" w:type="dxa"/>
            <w:shd w:val="clear" w:color="auto" w:fill="auto"/>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Комиссия по противодействию коррупции ФГУ «Кубаньмониторингвод»</w:t>
            </w:r>
          </w:p>
        </w:tc>
        <w:tc>
          <w:tcPr>
            <w:tcW w:w="2070" w:type="dxa"/>
            <w:shd w:val="clear" w:color="auto" w:fill="auto"/>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Ежегодно, до 1 февраля.</w:t>
            </w:r>
          </w:p>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1 декабря 2020 г. (итоговый доклад)</w:t>
            </w:r>
          </w:p>
        </w:tc>
        <w:tc>
          <w:tcPr>
            <w:tcW w:w="4158" w:type="dxa"/>
            <w:shd w:val="clear" w:color="auto" w:fill="auto"/>
          </w:tcPr>
          <w:p w:rsidR="00835A7B" w:rsidRDefault="00F110CA">
            <w:pPr>
              <w:tabs>
                <w:tab w:val="left" w:pos="5160"/>
              </w:tabs>
              <w:spacing w:after="0" w:line="240" w:lineRule="auto"/>
              <w:contextualSpacing/>
              <w:jc w:val="center"/>
            </w:pPr>
            <w:r>
              <w:rPr>
                <w:rFonts w:ascii="Times New Roman" w:hAnsi="Times New Roman" w:cs="Times New Roman"/>
                <w:sz w:val="24"/>
                <w:szCs w:val="24"/>
              </w:rPr>
              <w:t>Снижение рисков коррупционных проявлений в Учреждении</w:t>
            </w:r>
          </w:p>
        </w:tc>
      </w:tr>
      <w:tr w:rsidR="00835A7B" w:rsidTr="00F110CA">
        <w:trPr>
          <w:trHeight w:val="676"/>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w:t>
            </w:r>
          </w:p>
        </w:tc>
        <w:tc>
          <w:tcPr>
            <w:tcW w:w="14118" w:type="dxa"/>
            <w:gridSpan w:val="4"/>
            <w:shd w:val="clear" w:color="auto" w:fill="auto"/>
          </w:tcPr>
          <w:p w:rsidR="00835A7B" w:rsidRDefault="00F110CA">
            <w:pPr>
              <w:tabs>
                <w:tab w:val="left" w:pos="5160"/>
              </w:tabs>
              <w:spacing w:after="0" w:line="240" w:lineRule="auto"/>
              <w:contextualSpacing/>
              <w:jc w:val="center"/>
            </w:pPr>
            <w:r>
              <w:rPr>
                <w:rFonts w:ascii="Times New Roman" w:hAnsi="Times New Roman" w:cs="Times New Roman"/>
                <w:b/>
                <w:sz w:val="24"/>
                <w:szCs w:val="24"/>
              </w:rPr>
              <w:t>Повышение эффективности механизмов урегулирования конфликта интересов, запретов и принципов служебного поведения в связи с исполнением ими должностных обязанностей, а также ответственности за их нарушение</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Обеспечение действенного функционирования Комиссии ФГУ «Кубаньмониторингвод» по соблюдению требований к служебному поведению работников учреждения, созданной для выполнения задач, поставленных перед ФГУ «Кубаньмониторингвод», и урегулированию конфликта интересов.</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течение 2018-2020 гг.</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 xml:space="preserve">Обеспечение соблюдения работниками учреждения ограничений и запретов, требований о предотвращении или урегулировании конфликта интересов, требований к должностному поведению, установленных законодательством Российской </w:t>
            </w:r>
            <w:proofErr w:type="gramStart"/>
            <w:r>
              <w:rPr>
                <w:rFonts w:ascii="Times New Roman" w:hAnsi="Times New Roman" w:cs="Times New Roman"/>
                <w:sz w:val="24"/>
                <w:szCs w:val="24"/>
              </w:rPr>
              <w:t>Федерации  о</w:t>
            </w:r>
            <w:proofErr w:type="gramEnd"/>
            <w:r>
              <w:rPr>
                <w:rFonts w:ascii="Times New Roman" w:hAnsi="Times New Roman" w:cs="Times New Roman"/>
                <w:sz w:val="24"/>
                <w:szCs w:val="24"/>
              </w:rPr>
              <w:t xml:space="preserve"> противодействии коррупции, а также осуществление мер по предупреждению коррупции.</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 выявлению случаев возникновения конфликта интересов либо возможности возникновения конфликта интересов, одной из сторон которого являются лица, претендующие на замещающие должности категории «руководители», и </w:t>
            </w:r>
            <w:r>
              <w:rPr>
                <w:rFonts w:ascii="Times New Roman" w:hAnsi="Times New Roman" w:cs="Times New Roman"/>
                <w:sz w:val="24"/>
                <w:szCs w:val="24"/>
              </w:rPr>
              <w:lastRenderedPageBreak/>
              <w:t>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и организации обсуждения вопроса о состоянии этой работы и мерах по ее совершенствованию на заседаниях комиссии по предупреждению и противодействию коррупции</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lastRenderedPageBreak/>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Выявление, предупреждение и урегулирование конфликта интересов в целях предотвращения коррупционных правонарушений.</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Проведение работы по выявлению случаев возникновения конфликта интересов, одной из сторон которого являются работники учреждения. Осуществление мер по предотвращению и урегулированию конфликта интересов, а также применение мер ответственности, предусмотренных антикоррупционным законодательством Российской Федерации.</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Предупреждение и пресечение коррупционных проявлений работниками учреждения своих должностных обязанностей.</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Представление в Федеральное агентство водных ресурсов анкет граждан, претендующих на замещение должности руководителя Учреждения, о своих родственниках</w:t>
            </w:r>
          </w:p>
        </w:tc>
        <w:tc>
          <w:tcPr>
            <w:tcW w:w="3381" w:type="dxa"/>
            <w:shd w:val="clear" w:color="auto" w:fill="auto"/>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Ежегодно, </w:t>
            </w:r>
          </w:p>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1 апреля</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 xml:space="preserve">Выявление, предупреждение и урегулирование конфликта интересов в целях предотвращения коррупционных правонарушений. </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Обеспечение своевременного представления справок о доходах, расходах, об имуществе и обязательствах имущественного характера, представляемых руководителями Учреждения</w:t>
            </w:r>
          </w:p>
        </w:tc>
        <w:tc>
          <w:tcPr>
            <w:tcW w:w="3381" w:type="dxa"/>
            <w:shd w:val="clear" w:color="auto" w:fill="auto"/>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Ежегодно, </w:t>
            </w:r>
          </w:p>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30 апреля</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Обеспечение своевременного исполнения обязанности по представлению справок о доходах своих и членов своих семей</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Заполнение с 1 января 2019 года справок о доходах работниками и лицами, претендующими на замещение коррупционных должностей в учреждении, с использованием специального программного обеспечения </w:t>
            </w:r>
            <w:r>
              <w:rPr>
                <w:rFonts w:ascii="Times New Roman" w:hAnsi="Times New Roman" w:cs="Times New Roman"/>
                <w:sz w:val="24"/>
                <w:szCs w:val="24"/>
              </w:rPr>
              <w:lastRenderedPageBreak/>
              <w:t>«Справки БК», размещенного на официальном сайте государственной информационной системы в информационно – телекоммуникационной сети «Интернет»</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lastRenderedPageBreak/>
              <w:t>Комиссия по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течение 2018-2020 гг.</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 xml:space="preserve">Унифицированное заполнение справок о доходах, возможность проверки лицом, представляющим справки о доходах, корректного ввода информации. </w:t>
            </w:r>
          </w:p>
        </w:tc>
      </w:tr>
      <w:tr w:rsidR="00835A7B" w:rsidTr="00F110CA">
        <w:trPr>
          <w:trHeight w:val="1196"/>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 </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Организация работы по направлению в Федеральное агентство водных ресурсов уведомлений о факте обращения в целях склонения к совершению коррупционных правонарушений.</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течение 2018-2020 гг.</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Своевременное направление уведомлений</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по доведению до работников Учреждения положений антикоррупционного законодательства Российской Федерации, в том числе: об ответственности за коррупционные правонарушения, о недопустимости возникновения конфликта интересов и путях его урегулирования, о соблюдении этических и нравственных норм при выполнении должностных обязанностей, о недопущении получения и дачи взятки, о запретах, ограничениях и требованиях, установленных в целях противодействия коррупции. </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При назначении на должность. В течение 2018-2020 гг.</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Профилактика коррупционных и иных правонарушений.</w:t>
            </w:r>
          </w:p>
          <w:p w:rsidR="00835A7B" w:rsidRDefault="00F110CA">
            <w:pPr>
              <w:tabs>
                <w:tab w:val="left" w:pos="5160"/>
              </w:tabs>
              <w:spacing w:after="0" w:line="240" w:lineRule="auto"/>
              <w:contextualSpacing/>
              <w:jc w:val="center"/>
            </w:pPr>
            <w:r>
              <w:rPr>
                <w:rFonts w:ascii="Times New Roman" w:hAnsi="Times New Roman" w:cs="Times New Roman"/>
                <w:sz w:val="24"/>
                <w:szCs w:val="24"/>
              </w:rPr>
              <w:t>Формирование отрицательного отношения к коррупции.</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Осуществление комплекса организационных, разъяснительных и иных мер по соблюдению ограничений и требований, установленных в целях противодействия коррупции</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течение 2018-2020 гг.</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 xml:space="preserve">Организация занятий (семинары, тренинги, лекции, совещания) по разъяснению положений антикоррупционного законодательства. Своевременное доведение до сведения работников положений антикоррупционного законодательства Российской Федерации путем проведения совещаний, видеоконференций, размещения соответствующей информации на официальном сайте ФГУ «Кубаньмониторингвод», а </w:t>
            </w:r>
            <w:r>
              <w:rPr>
                <w:rFonts w:ascii="Times New Roman" w:hAnsi="Times New Roman" w:cs="Times New Roman"/>
                <w:sz w:val="24"/>
                <w:szCs w:val="24"/>
              </w:rPr>
              <w:lastRenderedPageBreak/>
              <w:t>также направления информации в письменном виде для ознакомления.</w:t>
            </w:r>
          </w:p>
        </w:tc>
      </w:tr>
      <w:tr w:rsidR="00835A7B" w:rsidTr="00F110CA">
        <w:trPr>
          <w:trHeight w:val="707"/>
        </w:trPr>
        <w:tc>
          <w:tcPr>
            <w:tcW w:w="14786" w:type="dxa"/>
            <w:gridSpan w:val="5"/>
            <w:tcBorders>
              <w:top w:val="nil"/>
            </w:tcBorders>
            <w:shd w:val="clear" w:color="auto" w:fill="auto"/>
          </w:tcPr>
          <w:p w:rsidR="00835A7B" w:rsidRDefault="00F110CA">
            <w:pPr>
              <w:tabs>
                <w:tab w:val="left" w:pos="5160"/>
              </w:tabs>
              <w:spacing w:after="0" w:line="240" w:lineRule="auto"/>
              <w:contextualSpacing/>
              <w:jc w:val="center"/>
            </w:pPr>
            <w:r>
              <w:rPr>
                <w:rFonts w:ascii="Times New Roman" w:hAnsi="Times New Roman"/>
                <w:b/>
                <w:bCs/>
                <w:sz w:val="24"/>
                <w:szCs w:val="24"/>
                <w:lang w:val="en-US"/>
              </w:rPr>
              <w:lastRenderedPageBreak/>
              <w:t>III</w:t>
            </w:r>
            <w:r>
              <w:rPr>
                <w:rFonts w:ascii="Times New Roman" w:hAnsi="Times New Roman"/>
                <w:b/>
                <w:bCs/>
                <w:sz w:val="24"/>
                <w:szCs w:val="24"/>
              </w:rPr>
              <w:t xml:space="preserve">. Выявление и систематизация причин и условий проявления коррупции в деятельности </w:t>
            </w:r>
            <w:r>
              <w:rPr>
                <w:rFonts w:ascii="Times New Roman" w:hAnsi="Times New Roman" w:cs="Times New Roman"/>
                <w:b/>
                <w:bCs/>
                <w:sz w:val="24"/>
                <w:szCs w:val="24"/>
              </w:rPr>
              <w:t>ФГУ «Кубаньмониторингвод», мониторинг коррупционных рисков и их устранение</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4509" w:type="dxa"/>
            <w:shd w:val="clear" w:color="auto" w:fill="auto"/>
          </w:tcPr>
          <w:p w:rsidR="00835A7B" w:rsidRDefault="00F110CA">
            <w:pPr>
              <w:tabs>
                <w:tab w:val="left" w:pos="5160"/>
              </w:tabs>
              <w:spacing w:after="0" w:line="240" w:lineRule="auto"/>
              <w:contextualSpacing/>
              <w:jc w:val="both"/>
            </w:pPr>
            <w:r>
              <w:rPr>
                <w:rFonts w:ascii="Times New Roman" w:hAnsi="Times New Roman" w:cs="Times New Roman"/>
                <w:sz w:val="24"/>
                <w:szCs w:val="24"/>
              </w:rPr>
              <w:t>Систематическое проведение оценок коррупционных рисков, возникающих при реализации своих функций, и внесение уточнений в перечень должностей, которых связано с коррупционными рисками</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pPr>
            <w:bookmarkStart w:id="0" w:name="__DdeLink__627_917251740"/>
            <w:r>
              <w:rPr>
                <w:rFonts w:ascii="Times New Roman" w:hAnsi="Times New Roman" w:cs="Times New Roman"/>
                <w:sz w:val="24"/>
                <w:szCs w:val="24"/>
              </w:rPr>
              <w:t>В течение 2018-2020 гг.</w:t>
            </w:r>
            <w:bookmarkEnd w:id="0"/>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Профилактика и снижение рисков коррупционных проявлений при исполнении своих должностных обязанностей и соблюдении ими требований к служебному поведению</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4509" w:type="dxa"/>
            <w:shd w:val="clear" w:color="auto" w:fill="auto"/>
          </w:tcPr>
          <w:p w:rsidR="00835A7B" w:rsidRDefault="00F110CA">
            <w:pPr>
              <w:tabs>
                <w:tab w:val="left" w:pos="5160"/>
              </w:tabs>
              <w:spacing w:after="0" w:line="240" w:lineRule="auto"/>
              <w:contextualSpacing/>
              <w:jc w:val="both"/>
            </w:pPr>
            <w:r>
              <w:rPr>
                <w:rFonts w:ascii="Times New Roman" w:hAnsi="Times New Roman" w:cs="Times New Roman"/>
                <w:sz w:val="24"/>
                <w:szCs w:val="24"/>
              </w:rPr>
              <w:t xml:space="preserve">Осуществление </w:t>
            </w:r>
            <w:proofErr w:type="gramStart"/>
            <w:r>
              <w:rPr>
                <w:rFonts w:ascii="Times New Roman" w:hAnsi="Times New Roman" w:cs="Times New Roman"/>
                <w:sz w:val="24"/>
                <w:szCs w:val="24"/>
              </w:rPr>
              <w:t>антикоррупционной  экспертизы</w:t>
            </w:r>
            <w:proofErr w:type="gramEnd"/>
            <w:r>
              <w:rPr>
                <w:rFonts w:ascii="Times New Roman" w:hAnsi="Times New Roman" w:cs="Times New Roman"/>
                <w:sz w:val="24"/>
                <w:szCs w:val="24"/>
              </w:rPr>
              <w:t xml:space="preserve"> в отношении локальных нормативных правовых актов, иных документов с учетом мониторинга соответствующей правоприменительной практики в целях выявления коррупционных факторов и их последующего устранения</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pPr>
            <w:bookmarkStart w:id="1" w:name="__DdeLink__503_3571799836"/>
            <w:r>
              <w:rPr>
                <w:rFonts w:ascii="Times New Roman" w:hAnsi="Times New Roman" w:cs="Times New Roman"/>
                <w:sz w:val="24"/>
                <w:szCs w:val="24"/>
              </w:rPr>
              <w:t>В течение 2018-2020 гг.</w:t>
            </w:r>
            <w:bookmarkEnd w:id="1"/>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Предупреждение включения в проекты правовых актов положений, способствующих созданию условий для проявления коррупции, а также выявлению таких положений.</w:t>
            </w:r>
          </w:p>
          <w:p w:rsidR="00835A7B" w:rsidRDefault="00F110CA">
            <w:pPr>
              <w:tabs>
                <w:tab w:val="left" w:pos="5160"/>
              </w:tabs>
              <w:spacing w:after="0" w:line="240" w:lineRule="auto"/>
              <w:contextualSpacing/>
              <w:jc w:val="center"/>
            </w:pPr>
            <w:r>
              <w:rPr>
                <w:rFonts w:ascii="Times New Roman" w:hAnsi="Times New Roman" w:cs="Times New Roman"/>
                <w:sz w:val="24"/>
                <w:szCs w:val="24"/>
              </w:rPr>
              <w:t>Исключение толкований и пробелов в актах.</w:t>
            </w:r>
          </w:p>
        </w:tc>
      </w:tr>
      <w:tr w:rsidR="00835A7B" w:rsidTr="00F110CA">
        <w:trPr>
          <w:trHeight w:val="1689"/>
        </w:trPr>
        <w:tc>
          <w:tcPr>
            <w:tcW w:w="668" w:type="dxa"/>
            <w:shd w:val="clear" w:color="auto" w:fill="auto"/>
          </w:tcPr>
          <w:p w:rsidR="00835A7B" w:rsidRDefault="00F110CA">
            <w:pPr>
              <w:tabs>
                <w:tab w:val="left" w:pos="5160"/>
              </w:tabs>
              <w:spacing w:after="0" w:line="240" w:lineRule="auto"/>
              <w:contextualSpacing/>
            </w:pPr>
            <w:r>
              <w:rPr>
                <w:rFonts w:ascii="Times New Roman" w:hAnsi="Times New Roman" w:cs="Times New Roman"/>
                <w:sz w:val="24"/>
                <w:szCs w:val="24"/>
              </w:rPr>
              <w:t>13.</w:t>
            </w:r>
          </w:p>
        </w:tc>
        <w:tc>
          <w:tcPr>
            <w:tcW w:w="4509" w:type="dxa"/>
            <w:shd w:val="clear" w:color="auto" w:fill="auto"/>
          </w:tcPr>
          <w:p w:rsidR="00835A7B" w:rsidRDefault="00F110CA">
            <w:pPr>
              <w:tabs>
                <w:tab w:val="left" w:pos="5160"/>
              </w:tabs>
              <w:spacing w:after="0" w:line="240" w:lineRule="auto"/>
              <w:contextualSpacing/>
              <w:jc w:val="both"/>
            </w:pPr>
            <w:r>
              <w:rPr>
                <w:rFonts w:ascii="Times New Roman" w:hAnsi="Times New Roman" w:cs="Times New Roman"/>
                <w:sz w:val="24"/>
                <w:szCs w:val="24"/>
              </w:rPr>
              <w:t>Мониторинг и выявление коррупционных рисков, в том числе причин и условий коррупции, в деятельности по размещению государственных заказов и устранение выявленных коррупционных рисков</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pPr>
            <w:r>
              <w:rPr>
                <w:rFonts w:ascii="Times New Roman" w:hAnsi="Times New Roman" w:cs="Times New Roman"/>
                <w:sz w:val="24"/>
                <w:szCs w:val="24"/>
              </w:rPr>
              <w:t xml:space="preserve">Ежеквартально </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 xml:space="preserve">Аналитическая справка по результатам мониторинга госзаказов. </w:t>
            </w:r>
          </w:p>
        </w:tc>
      </w:tr>
      <w:tr w:rsidR="00835A7B" w:rsidTr="00F110CA">
        <w:tc>
          <w:tcPr>
            <w:tcW w:w="14786" w:type="dxa"/>
            <w:gridSpan w:val="5"/>
            <w:shd w:val="clear" w:color="auto" w:fill="auto"/>
          </w:tcPr>
          <w:p w:rsidR="00835A7B" w:rsidRDefault="00F110CA">
            <w:pPr>
              <w:tabs>
                <w:tab w:val="left" w:pos="5160"/>
              </w:tabs>
              <w:spacing w:after="0" w:line="240" w:lineRule="auto"/>
              <w:contextualSpacing/>
              <w:jc w:val="center"/>
            </w:pPr>
            <w:r>
              <w:rPr>
                <w:rFonts w:ascii="Times New Roman" w:hAnsi="Times New Roman" w:cs="Times New Roman"/>
                <w:b/>
                <w:bCs/>
                <w:sz w:val="24"/>
                <w:szCs w:val="24"/>
                <w:lang w:val="en-US"/>
              </w:rPr>
              <w:t>IV</w:t>
            </w:r>
            <w:r>
              <w:rPr>
                <w:rFonts w:ascii="Times New Roman" w:hAnsi="Times New Roman" w:cs="Times New Roman"/>
                <w:b/>
                <w:bCs/>
                <w:sz w:val="24"/>
                <w:szCs w:val="24"/>
              </w:rPr>
              <w:t>. Взаимодействие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Учреждения</w:t>
            </w:r>
          </w:p>
        </w:tc>
      </w:tr>
      <w:tr w:rsidR="00835A7B" w:rsidTr="00F110CA">
        <w:tc>
          <w:tcPr>
            <w:tcW w:w="668" w:type="dxa"/>
            <w:shd w:val="clear" w:color="auto" w:fill="auto"/>
          </w:tcPr>
          <w:p w:rsidR="00835A7B" w:rsidRDefault="00F110CA">
            <w:pPr>
              <w:tabs>
                <w:tab w:val="left" w:pos="5160"/>
              </w:tabs>
              <w:spacing w:after="0" w:line="240" w:lineRule="auto"/>
              <w:contextualSpacing/>
            </w:pPr>
            <w:r>
              <w:rPr>
                <w:rFonts w:ascii="Times New Roman" w:hAnsi="Times New Roman" w:cs="Times New Roman"/>
                <w:sz w:val="24"/>
                <w:szCs w:val="24"/>
              </w:rPr>
              <w:t>14.</w:t>
            </w:r>
          </w:p>
        </w:tc>
        <w:tc>
          <w:tcPr>
            <w:tcW w:w="4509" w:type="dxa"/>
            <w:shd w:val="clear" w:color="auto" w:fill="auto"/>
          </w:tcPr>
          <w:p w:rsidR="00835A7B" w:rsidRDefault="00F110CA">
            <w:pPr>
              <w:tabs>
                <w:tab w:val="left" w:pos="5160"/>
              </w:tabs>
              <w:spacing w:after="0" w:line="240" w:lineRule="auto"/>
              <w:contextualSpacing/>
              <w:jc w:val="both"/>
            </w:pPr>
            <w:r>
              <w:rPr>
                <w:rFonts w:ascii="Times New Roman" w:hAnsi="Times New Roman" w:cs="Times New Roman"/>
                <w:sz w:val="24"/>
                <w:szCs w:val="24"/>
              </w:rPr>
              <w:t>Обеспечение размещения на официальном интернет-сайте Учреждения информации об антикоррупционной деятельности, ведение специализированного раздела, посвященного вопросам противодействия коррупции</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 xml:space="preserve">На систематической основе по результатам проведенных мероприятий по противодействию </w:t>
            </w:r>
            <w:r>
              <w:rPr>
                <w:rFonts w:ascii="Times New Roman" w:hAnsi="Times New Roman" w:cs="Times New Roman"/>
                <w:sz w:val="24"/>
                <w:szCs w:val="24"/>
              </w:rPr>
              <w:lastRenderedPageBreak/>
              <w:t>коррупции</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lastRenderedPageBreak/>
              <w:t>Приведение разделов официальных сайтов Учреждения, территориальных органов в соответствие требованиям распорядительных документов Минтруда России</w:t>
            </w:r>
          </w:p>
        </w:tc>
      </w:tr>
      <w:tr w:rsidR="00835A7B" w:rsidTr="00F110CA">
        <w:tc>
          <w:tcPr>
            <w:tcW w:w="668" w:type="dxa"/>
            <w:shd w:val="clear" w:color="auto" w:fill="auto"/>
          </w:tcPr>
          <w:p w:rsidR="00835A7B" w:rsidRDefault="00F110CA">
            <w:pPr>
              <w:tabs>
                <w:tab w:val="left" w:pos="5160"/>
              </w:tabs>
              <w:spacing w:after="0" w:line="240" w:lineRule="auto"/>
              <w:contextualSpacing/>
            </w:pPr>
            <w:r>
              <w:rPr>
                <w:rFonts w:ascii="Times New Roman" w:hAnsi="Times New Roman" w:cs="Times New Roman"/>
                <w:sz w:val="24"/>
                <w:szCs w:val="24"/>
              </w:rPr>
              <w:t>15.</w:t>
            </w:r>
          </w:p>
        </w:tc>
        <w:tc>
          <w:tcPr>
            <w:tcW w:w="4509" w:type="dxa"/>
            <w:shd w:val="clear" w:color="auto" w:fill="auto"/>
          </w:tcPr>
          <w:p w:rsidR="00835A7B" w:rsidRDefault="00F110CA">
            <w:pPr>
              <w:tabs>
                <w:tab w:val="left" w:pos="5160"/>
              </w:tabs>
              <w:spacing w:after="0" w:line="240" w:lineRule="auto"/>
              <w:contextualSpacing/>
              <w:jc w:val="both"/>
            </w:pPr>
            <w:r>
              <w:rPr>
                <w:rFonts w:ascii="Times New Roman" w:hAnsi="Times New Roman" w:cs="Times New Roman"/>
                <w:sz w:val="24"/>
                <w:szCs w:val="24"/>
              </w:rPr>
              <w:t xml:space="preserve">Обеспечение возможности оперативного представления гражданами и организациями информации о фактах коррупции в ФГУ «Кубаньмониторингвод» или нарушениях требований к служебному поведению федеральных государственных гражданских служащих посредством: </w:t>
            </w:r>
          </w:p>
          <w:p w:rsidR="00835A7B" w:rsidRDefault="00F110CA">
            <w:pPr>
              <w:tabs>
                <w:tab w:val="left" w:pos="5160"/>
              </w:tabs>
              <w:spacing w:after="0" w:line="240" w:lineRule="auto"/>
              <w:contextualSpacing/>
              <w:jc w:val="both"/>
            </w:pPr>
            <w:r>
              <w:rPr>
                <w:rFonts w:ascii="Times New Roman" w:hAnsi="Times New Roman" w:cs="Times New Roman"/>
                <w:sz w:val="24"/>
                <w:szCs w:val="24"/>
              </w:rPr>
              <w:t>- функционирования «горячей линии» и (или) «телефона доверия» по вопросам противодействия коррупции;</w:t>
            </w:r>
          </w:p>
          <w:p w:rsidR="00835A7B" w:rsidRDefault="00F110CA">
            <w:pPr>
              <w:tabs>
                <w:tab w:val="left" w:pos="5160"/>
              </w:tabs>
              <w:spacing w:after="0" w:line="240" w:lineRule="auto"/>
              <w:contextualSpacing/>
              <w:jc w:val="both"/>
            </w:pPr>
            <w:r>
              <w:rPr>
                <w:rFonts w:ascii="Times New Roman" w:hAnsi="Times New Roman" w:cs="Times New Roman"/>
                <w:sz w:val="24"/>
                <w:szCs w:val="24"/>
              </w:rPr>
              <w:t>- приема электронных сообщений на официальном сайте ФГУ «Кубаньмониторингвод».</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Комиссия по предупреждению и противодействию коррупции ФГУ «Кубаньмониторингвод»</w:t>
            </w:r>
          </w:p>
        </w:tc>
        <w:tc>
          <w:tcPr>
            <w:tcW w:w="2070"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 xml:space="preserve">В течение </w:t>
            </w:r>
          </w:p>
          <w:p w:rsidR="00835A7B" w:rsidRDefault="00F110CA">
            <w:pPr>
              <w:tabs>
                <w:tab w:val="left" w:pos="5160"/>
              </w:tabs>
              <w:spacing w:after="0" w:line="240" w:lineRule="auto"/>
              <w:contextualSpacing/>
              <w:jc w:val="center"/>
            </w:pPr>
            <w:r>
              <w:rPr>
                <w:rFonts w:ascii="Times New Roman" w:hAnsi="Times New Roman" w:cs="Times New Roman"/>
                <w:sz w:val="24"/>
                <w:szCs w:val="24"/>
              </w:rPr>
              <w:t>2018-2020 гг.</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Функционирования «телефона доверия», размещение информации о «телефонах доверия на сайтах Учреждения. Обеспечение возможности взаимодействия заявителя с Учреждением с использованием компьютерных технологий в режиме «онлайн».</w:t>
            </w:r>
          </w:p>
        </w:tc>
      </w:tr>
      <w:tr w:rsidR="00835A7B" w:rsidTr="00F110CA">
        <w:trPr>
          <w:trHeight w:val="3551"/>
        </w:trPr>
        <w:tc>
          <w:tcPr>
            <w:tcW w:w="668" w:type="dxa"/>
            <w:shd w:val="clear" w:color="auto" w:fill="auto"/>
          </w:tcPr>
          <w:p w:rsidR="00835A7B" w:rsidRDefault="00F110CA">
            <w:pPr>
              <w:tabs>
                <w:tab w:val="left" w:pos="5160"/>
              </w:tabs>
              <w:spacing w:after="0" w:line="240" w:lineRule="auto"/>
              <w:contextualSpacing/>
            </w:pPr>
            <w:r>
              <w:rPr>
                <w:rFonts w:ascii="Times New Roman" w:hAnsi="Times New Roman" w:cs="Times New Roman"/>
                <w:sz w:val="24"/>
                <w:szCs w:val="24"/>
              </w:rPr>
              <w:t>16.</w:t>
            </w:r>
          </w:p>
        </w:tc>
        <w:tc>
          <w:tcPr>
            <w:tcW w:w="4509" w:type="dxa"/>
            <w:shd w:val="clear" w:color="auto" w:fill="auto"/>
          </w:tcPr>
          <w:p w:rsidR="00835A7B" w:rsidRDefault="00F110CA">
            <w:pPr>
              <w:tabs>
                <w:tab w:val="left" w:pos="5160"/>
              </w:tabs>
              <w:spacing w:after="0" w:line="240" w:lineRule="auto"/>
              <w:contextualSpacing/>
              <w:jc w:val="both"/>
            </w:pPr>
            <w:r>
              <w:rPr>
                <w:rFonts w:ascii="Times New Roman" w:hAnsi="Times New Roman" w:cs="Times New Roman"/>
                <w:sz w:val="24"/>
                <w:szCs w:val="24"/>
              </w:rPr>
              <w:t>Мониторинг публикаций в средствах массовой информации о фактах проявления коррупции в ФГУ «Кубаньмониторингвод».</w:t>
            </w:r>
          </w:p>
        </w:tc>
        <w:tc>
          <w:tcPr>
            <w:tcW w:w="3381" w:type="dxa"/>
            <w:shd w:val="clear" w:color="auto" w:fill="auto"/>
            <w:vAlign w:val="center"/>
          </w:tcPr>
          <w:p w:rsidR="00835A7B" w:rsidRDefault="00F110CA">
            <w:pPr>
              <w:spacing w:after="0" w:line="240" w:lineRule="auto"/>
              <w:jc w:val="center"/>
            </w:pPr>
            <w:bookmarkStart w:id="2" w:name="__DdeLink__515_3557158854"/>
            <w:r>
              <w:rPr>
                <w:rFonts w:ascii="Times New Roman" w:hAnsi="Times New Roman" w:cs="Times New Roman"/>
                <w:sz w:val="24"/>
                <w:szCs w:val="24"/>
              </w:rPr>
              <w:t xml:space="preserve">Комиссия по предупреждению и противодействию коррупции </w:t>
            </w:r>
            <w:bookmarkStart w:id="3" w:name="__DdeLink__503_2958846571"/>
            <w:r>
              <w:rPr>
                <w:rFonts w:ascii="Times New Roman" w:hAnsi="Times New Roman" w:cs="Times New Roman"/>
                <w:sz w:val="24"/>
                <w:szCs w:val="24"/>
              </w:rPr>
              <w:t>ФГУ «Кубаньмониторингвод</w:t>
            </w:r>
            <w:bookmarkEnd w:id="3"/>
            <w:r>
              <w:rPr>
                <w:rFonts w:ascii="Times New Roman" w:hAnsi="Times New Roman" w:cs="Times New Roman"/>
                <w:sz w:val="24"/>
                <w:szCs w:val="24"/>
              </w:rPr>
              <w:t>»</w:t>
            </w:r>
            <w:bookmarkEnd w:id="2"/>
          </w:p>
        </w:tc>
        <w:tc>
          <w:tcPr>
            <w:tcW w:w="2070"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 xml:space="preserve">В течение </w:t>
            </w:r>
          </w:p>
          <w:p w:rsidR="00835A7B" w:rsidRDefault="00F110CA">
            <w:pPr>
              <w:tabs>
                <w:tab w:val="left" w:pos="5160"/>
              </w:tabs>
              <w:spacing w:after="0" w:line="240" w:lineRule="auto"/>
              <w:contextualSpacing/>
              <w:jc w:val="center"/>
            </w:pPr>
            <w:r>
              <w:rPr>
                <w:rFonts w:ascii="Times New Roman" w:hAnsi="Times New Roman" w:cs="Times New Roman"/>
                <w:sz w:val="24"/>
                <w:szCs w:val="24"/>
              </w:rPr>
              <w:t>2018-2020 гг.</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Сбор и проверка информации о фактах проявления коррупции в ФГУ «Кубаньмониторингвод», опубликованных в СМИ. Принятие необходимых мер по ликвидации последствий и устранению причин подтвержденных коррупционных нарушений.</w:t>
            </w:r>
          </w:p>
        </w:tc>
      </w:tr>
      <w:tr w:rsidR="00F110CA" w:rsidTr="00BE38DC">
        <w:tc>
          <w:tcPr>
            <w:tcW w:w="14786" w:type="dxa"/>
            <w:gridSpan w:val="5"/>
            <w:shd w:val="clear" w:color="auto" w:fill="auto"/>
          </w:tcPr>
          <w:p w:rsidR="00F110CA"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lang w:val="en-US"/>
              </w:rPr>
              <w:t>V</w:t>
            </w:r>
            <w:r w:rsidRPr="00F110CA">
              <w:rPr>
                <w:rFonts w:ascii="Times New Roman" w:hAnsi="Times New Roman" w:cs="Times New Roman"/>
                <w:b/>
                <w:sz w:val="24"/>
                <w:szCs w:val="24"/>
              </w:rPr>
              <w:t xml:space="preserve">. </w:t>
            </w:r>
            <w:r w:rsidRPr="005B6EF3">
              <w:rPr>
                <w:rFonts w:ascii="Times New Roman" w:hAnsi="Times New Roman" w:cs="Times New Roman"/>
                <w:b/>
                <w:sz w:val="24"/>
                <w:szCs w:val="24"/>
              </w:rPr>
              <w:t>Мероприятия Учреждения, направленные на противодействие коррупции с учетом спецификации его деятельности</w:t>
            </w:r>
          </w:p>
        </w:tc>
      </w:tr>
      <w:tr w:rsidR="00F110CA" w:rsidTr="009F55B4">
        <w:tc>
          <w:tcPr>
            <w:tcW w:w="668" w:type="dxa"/>
            <w:shd w:val="clear" w:color="auto" w:fill="auto"/>
          </w:tcPr>
          <w:p w:rsidR="00F110CA" w:rsidRDefault="00F110CA" w:rsidP="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w:t>
            </w:r>
          </w:p>
        </w:tc>
        <w:tc>
          <w:tcPr>
            <w:tcW w:w="4509" w:type="dxa"/>
          </w:tcPr>
          <w:p w:rsidR="00F110CA" w:rsidRPr="00A508AD" w:rsidRDefault="00F110CA" w:rsidP="00F110CA">
            <w:pPr>
              <w:tabs>
                <w:tab w:val="left" w:pos="5160"/>
              </w:tabs>
              <w:spacing w:line="240" w:lineRule="auto"/>
              <w:contextualSpacing/>
              <w:jc w:val="both"/>
              <w:rPr>
                <w:rFonts w:ascii="Times New Roman" w:hAnsi="Times New Roman" w:cs="Times New Roman"/>
                <w:sz w:val="24"/>
                <w:szCs w:val="24"/>
              </w:rPr>
            </w:pPr>
            <w:r w:rsidRPr="00A508AD">
              <w:rPr>
                <w:rFonts w:ascii="Times New Roman" w:hAnsi="Times New Roman" w:cs="Times New Roman"/>
                <w:sz w:val="24"/>
                <w:szCs w:val="24"/>
              </w:rPr>
              <w:t xml:space="preserve">Организация и проведение проверок достоверности и полноты сведений о доходах, расходах, об имуществе и обязательствах имущественного характера, представляемых работниками и гражданами, претендующими на замещение должностей учреждения, а также сведений о доходах, расходах, об </w:t>
            </w:r>
            <w:r w:rsidRPr="00A508AD">
              <w:rPr>
                <w:rFonts w:ascii="Times New Roman" w:hAnsi="Times New Roman" w:cs="Times New Roman"/>
                <w:sz w:val="24"/>
                <w:szCs w:val="24"/>
              </w:rPr>
              <w:lastRenderedPageBreak/>
              <w:t>имуществе и обязательствах имущественного характера супруги (супруга) и несовершеннолетних детей указанных лиц</w:t>
            </w:r>
          </w:p>
        </w:tc>
        <w:tc>
          <w:tcPr>
            <w:tcW w:w="3381"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FF1E95">
              <w:rPr>
                <w:rFonts w:ascii="Times New Roman" w:hAnsi="Times New Roman" w:cs="Times New Roman"/>
                <w:sz w:val="24"/>
                <w:szCs w:val="24"/>
              </w:rPr>
              <w:lastRenderedPageBreak/>
              <w:t xml:space="preserve">Комиссия по </w:t>
            </w:r>
            <w:r>
              <w:rPr>
                <w:rFonts w:ascii="Times New Roman" w:hAnsi="Times New Roman" w:cs="Times New Roman"/>
                <w:sz w:val="24"/>
                <w:szCs w:val="24"/>
              </w:rPr>
              <w:t xml:space="preserve">предупреждению и </w:t>
            </w:r>
            <w:r w:rsidRPr="00FF1E95">
              <w:rPr>
                <w:rFonts w:ascii="Times New Roman" w:hAnsi="Times New Roman" w:cs="Times New Roman"/>
                <w:sz w:val="24"/>
                <w:szCs w:val="24"/>
              </w:rPr>
              <w:t>противодействию коррупции ФГУ «Кубаньмониторингвод</w:t>
            </w:r>
          </w:p>
        </w:tc>
        <w:tc>
          <w:tcPr>
            <w:tcW w:w="2070"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D26FE7">
              <w:rPr>
                <w:rFonts w:ascii="Times New Roman" w:hAnsi="Times New Roman" w:cs="Times New Roman"/>
                <w:sz w:val="24"/>
                <w:szCs w:val="24"/>
              </w:rPr>
              <w:t>На постоянной основе</w:t>
            </w:r>
          </w:p>
        </w:tc>
        <w:tc>
          <w:tcPr>
            <w:tcW w:w="4158"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D26FE7">
              <w:rPr>
                <w:rFonts w:ascii="Times New Roman" w:hAnsi="Times New Roman" w:cs="Times New Roman"/>
                <w:sz w:val="24"/>
                <w:szCs w:val="24"/>
              </w:rPr>
              <w:t>Предупреждение и профилактика коррупционных проявлений</w:t>
            </w:r>
          </w:p>
        </w:tc>
      </w:tr>
      <w:tr w:rsidR="00F110CA" w:rsidTr="009F55B4">
        <w:tc>
          <w:tcPr>
            <w:tcW w:w="668" w:type="dxa"/>
            <w:shd w:val="clear" w:color="auto" w:fill="auto"/>
          </w:tcPr>
          <w:p w:rsidR="00F110CA" w:rsidRDefault="00F110CA" w:rsidP="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w:t>
            </w:r>
          </w:p>
        </w:tc>
        <w:tc>
          <w:tcPr>
            <w:tcW w:w="4509" w:type="dxa"/>
          </w:tcPr>
          <w:p w:rsidR="00F110CA" w:rsidRPr="00D26FE7" w:rsidRDefault="00F110CA" w:rsidP="00F110CA">
            <w:pPr>
              <w:tabs>
                <w:tab w:val="left" w:pos="5160"/>
              </w:tabs>
              <w:spacing w:line="240" w:lineRule="auto"/>
              <w:contextualSpacing/>
              <w:jc w:val="both"/>
              <w:rPr>
                <w:rFonts w:ascii="Times New Roman" w:hAnsi="Times New Roman" w:cs="Times New Roman"/>
                <w:sz w:val="24"/>
                <w:szCs w:val="24"/>
              </w:rPr>
            </w:pPr>
            <w:r w:rsidRPr="00D26FE7">
              <w:rPr>
                <w:rFonts w:ascii="Times New Roman" w:hAnsi="Times New Roman" w:cs="Times New Roman"/>
                <w:sz w:val="24"/>
                <w:szCs w:val="24"/>
              </w:rPr>
              <w:t>Организация проведения служебных расследований случаев коррупционных проявлений</w:t>
            </w:r>
          </w:p>
        </w:tc>
        <w:tc>
          <w:tcPr>
            <w:tcW w:w="3381"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FF1E95">
              <w:rPr>
                <w:rFonts w:ascii="Times New Roman" w:hAnsi="Times New Roman" w:cs="Times New Roman"/>
                <w:sz w:val="24"/>
                <w:szCs w:val="24"/>
              </w:rPr>
              <w:t xml:space="preserve">Комиссия по </w:t>
            </w:r>
            <w:r>
              <w:rPr>
                <w:rFonts w:ascii="Times New Roman" w:hAnsi="Times New Roman" w:cs="Times New Roman"/>
                <w:sz w:val="24"/>
                <w:szCs w:val="24"/>
              </w:rPr>
              <w:t xml:space="preserve">предупреждению и </w:t>
            </w:r>
            <w:r w:rsidRPr="00FF1E95">
              <w:rPr>
                <w:rFonts w:ascii="Times New Roman" w:hAnsi="Times New Roman" w:cs="Times New Roman"/>
                <w:sz w:val="24"/>
                <w:szCs w:val="24"/>
              </w:rPr>
              <w:t>противодействию коррупции ФГУ «Кубаньмониторингвод</w:t>
            </w:r>
          </w:p>
        </w:tc>
        <w:tc>
          <w:tcPr>
            <w:tcW w:w="2070"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D26FE7">
              <w:rPr>
                <w:rFonts w:ascii="Times New Roman" w:hAnsi="Times New Roman" w:cs="Times New Roman"/>
                <w:sz w:val="24"/>
                <w:szCs w:val="24"/>
              </w:rPr>
              <w:t>В случаях выявления</w:t>
            </w:r>
          </w:p>
        </w:tc>
        <w:tc>
          <w:tcPr>
            <w:tcW w:w="4158"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D26FE7">
              <w:rPr>
                <w:rFonts w:ascii="Times New Roman" w:hAnsi="Times New Roman" w:cs="Times New Roman"/>
                <w:sz w:val="24"/>
                <w:szCs w:val="24"/>
              </w:rPr>
              <w:t>Предупреждение и профилактика коррупционных проявлений</w:t>
            </w:r>
          </w:p>
        </w:tc>
      </w:tr>
      <w:tr w:rsidR="00F110CA" w:rsidTr="009F55B4">
        <w:tc>
          <w:tcPr>
            <w:tcW w:w="668" w:type="dxa"/>
            <w:shd w:val="clear" w:color="auto" w:fill="auto"/>
          </w:tcPr>
          <w:p w:rsidR="00F110CA" w:rsidRDefault="00F110CA" w:rsidP="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p>
        </w:tc>
        <w:tc>
          <w:tcPr>
            <w:tcW w:w="4509" w:type="dxa"/>
          </w:tcPr>
          <w:p w:rsidR="00F110CA" w:rsidRPr="00D26FE7" w:rsidRDefault="00F110CA" w:rsidP="00F110CA">
            <w:pPr>
              <w:tabs>
                <w:tab w:val="left" w:pos="516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Обеспечение эффективного взаимодействия с территориальным органом Федерального агентства водных ресурсов в зоне деятельности Учреждения по вопросам методологии организации работы по противодействию коррупции</w:t>
            </w:r>
          </w:p>
        </w:tc>
        <w:tc>
          <w:tcPr>
            <w:tcW w:w="3381" w:type="dxa"/>
            <w:vAlign w:val="center"/>
          </w:tcPr>
          <w:p w:rsidR="00F110CA" w:rsidRPr="00FF1E95" w:rsidRDefault="00F110CA" w:rsidP="00F110CA">
            <w:pPr>
              <w:tabs>
                <w:tab w:val="left" w:pos="5160"/>
              </w:tabs>
              <w:spacing w:line="240" w:lineRule="auto"/>
              <w:contextualSpacing/>
              <w:jc w:val="center"/>
              <w:rPr>
                <w:rFonts w:ascii="Times New Roman" w:hAnsi="Times New Roman" w:cs="Times New Roman"/>
                <w:sz w:val="24"/>
                <w:szCs w:val="24"/>
              </w:rPr>
            </w:pPr>
            <w:r w:rsidRPr="00FF1E95">
              <w:rPr>
                <w:rFonts w:ascii="Times New Roman" w:hAnsi="Times New Roman" w:cs="Times New Roman"/>
                <w:sz w:val="24"/>
                <w:szCs w:val="24"/>
              </w:rPr>
              <w:t xml:space="preserve">Комиссия по </w:t>
            </w:r>
            <w:r>
              <w:rPr>
                <w:rFonts w:ascii="Times New Roman" w:hAnsi="Times New Roman" w:cs="Times New Roman"/>
                <w:sz w:val="24"/>
                <w:szCs w:val="24"/>
              </w:rPr>
              <w:t xml:space="preserve">предупреждению и </w:t>
            </w:r>
            <w:r w:rsidRPr="00FF1E95">
              <w:rPr>
                <w:rFonts w:ascii="Times New Roman" w:hAnsi="Times New Roman" w:cs="Times New Roman"/>
                <w:sz w:val="24"/>
                <w:szCs w:val="24"/>
              </w:rPr>
              <w:t>противодействию коррупции ФГУ «Кубаньмониторингвод</w:t>
            </w:r>
          </w:p>
        </w:tc>
        <w:tc>
          <w:tcPr>
            <w:tcW w:w="2070"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D26FE7">
              <w:rPr>
                <w:rFonts w:ascii="Times New Roman" w:hAnsi="Times New Roman" w:cs="Times New Roman"/>
                <w:sz w:val="24"/>
                <w:szCs w:val="24"/>
              </w:rPr>
              <w:t>На постоянной основе</w:t>
            </w:r>
          </w:p>
        </w:tc>
        <w:tc>
          <w:tcPr>
            <w:tcW w:w="4158"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D26FE7">
              <w:rPr>
                <w:rFonts w:ascii="Times New Roman" w:hAnsi="Times New Roman" w:cs="Times New Roman"/>
                <w:sz w:val="24"/>
                <w:szCs w:val="24"/>
              </w:rPr>
              <w:t>Предупреждение и профилактика коррупционных проявлений</w:t>
            </w:r>
          </w:p>
        </w:tc>
      </w:tr>
      <w:tr w:rsidR="00F110CA" w:rsidTr="00F110CA">
        <w:trPr>
          <w:trHeight w:val="3817"/>
        </w:trPr>
        <w:tc>
          <w:tcPr>
            <w:tcW w:w="668" w:type="dxa"/>
            <w:shd w:val="clear" w:color="auto" w:fill="auto"/>
          </w:tcPr>
          <w:p w:rsidR="00F110CA" w:rsidRDefault="00F110CA" w:rsidP="00F110CA">
            <w:pPr>
              <w:tabs>
                <w:tab w:val="left" w:pos="5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p>
        </w:tc>
        <w:tc>
          <w:tcPr>
            <w:tcW w:w="4509" w:type="dxa"/>
          </w:tcPr>
          <w:p w:rsidR="00F110CA" w:rsidRDefault="00F110CA" w:rsidP="00F110CA">
            <w:pPr>
              <w:tabs>
                <w:tab w:val="left" w:pos="516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Информирование территориального органа Федерального агентства водных ресурсов в зоне деятельности Учреждения о случаях выявления правонарушений, потенциально содержащих коррупционные риски, в том числе и о проведении оперативно-розыскных мероприятий в отношении работников, Учреждения</w:t>
            </w:r>
          </w:p>
        </w:tc>
        <w:tc>
          <w:tcPr>
            <w:tcW w:w="3381" w:type="dxa"/>
            <w:vAlign w:val="center"/>
          </w:tcPr>
          <w:p w:rsidR="00F110CA" w:rsidRDefault="00F110CA" w:rsidP="00F110CA">
            <w:pPr>
              <w:tabs>
                <w:tab w:val="left" w:pos="516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Директор</w:t>
            </w:r>
          </w:p>
          <w:p w:rsidR="00F110CA" w:rsidRPr="00FF1E95" w:rsidRDefault="00F110CA" w:rsidP="00F110CA">
            <w:pPr>
              <w:tabs>
                <w:tab w:val="left" w:pos="516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ФГУ «Кубаньмониторингвод»</w:t>
            </w:r>
          </w:p>
        </w:tc>
        <w:tc>
          <w:tcPr>
            <w:tcW w:w="2070" w:type="dxa"/>
            <w:vAlign w:val="center"/>
          </w:tcPr>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D26FE7">
              <w:rPr>
                <w:rFonts w:ascii="Times New Roman" w:hAnsi="Times New Roman" w:cs="Times New Roman"/>
                <w:sz w:val="24"/>
                <w:szCs w:val="24"/>
              </w:rPr>
              <w:t>На постоянной основе</w:t>
            </w:r>
          </w:p>
        </w:tc>
        <w:tc>
          <w:tcPr>
            <w:tcW w:w="4158" w:type="dxa"/>
            <w:vAlign w:val="center"/>
          </w:tcPr>
          <w:p w:rsidR="00F110CA" w:rsidRDefault="00F110CA" w:rsidP="00F110CA">
            <w:pPr>
              <w:tabs>
                <w:tab w:val="left" w:pos="516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Информационный обмен</w:t>
            </w:r>
          </w:p>
          <w:p w:rsidR="00F110CA" w:rsidRPr="00D26FE7" w:rsidRDefault="00F110CA" w:rsidP="00F110CA">
            <w:pPr>
              <w:tabs>
                <w:tab w:val="left" w:pos="5160"/>
              </w:tabs>
              <w:spacing w:line="240" w:lineRule="auto"/>
              <w:contextualSpacing/>
              <w:jc w:val="center"/>
              <w:rPr>
                <w:rFonts w:ascii="Times New Roman" w:hAnsi="Times New Roman" w:cs="Times New Roman"/>
                <w:sz w:val="24"/>
                <w:szCs w:val="24"/>
              </w:rPr>
            </w:pPr>
            <w:r w:rsidRPr="00D26FE7">
              <w:rPr>
                <w:rFonts w:ascii="Times New Roman" w:hAnsi="Times New Roman" w:cs="Times New Roman"/>
                <w:sz w:val="24"/>
                <w:szCs w:val="24"/>
              </w:rPr>
              <w:t>Предупреждение и профилактика коррупционных проявлений</w:t>
            </w:r>
          </w:p>
        </w:tc>
      </w:tr>
      <w:tr w:rsidR="00835A7B" w:rsidTr="00F110CA">
        <w:tc>
          <w:tcPr>
            <w:tcW w:w="14786" w:type="dxa"/>
            <w:gridSpan w:val="5"/>
            <w:shd w:val="clear" w:color="auto" w:fill="auto"/>
          </w:tcPr>
          <w:p w:rsidR="00835A7B" w:rsidRDefault="00F110CA">
            <w:pPr>
              <w:tabs>
                <w:tab w:val="left" w:pos="5160"/>
              </w:tabs>
              <w:spacing w:after="0" w:line="240" w:lineRule="auto"/>
              <w:contextualSpacing/>
              <w:jc w:val="center"/>
            </w:pPr>
            <w:r>
              <w:rPr>
                <w:rFonts w:ascii="Times New Roman" w:hAnsi="Times New Roman" w:cs="Times New Roman"/>
                <w:b/>
                <w:bCs/>
                <w:sz w:val="24"/>
                <w:szCs w:val="24"/>
                <w:lang w:val="en-US"/>
              </w:rPr>
              <w:t>VI</w:t>
            </w:r>
            <w:r>
              <w:rPr>
                <w:rFonts w:ascii="Times New Roman" w:hAnsi="Times New Roman" w:cs="Times New Roman"/>
                <w:b/>
                <w:bCs/>
                <w:sz w:val="24"/>
                <w:szCs w:val="24"/>
              </w:rPr>
              <w:t>. Повышение эффективности просветительских, образовательных и иных мероприятий, направленных на формирование антикоррупционного поведения, популяризацию в обществе антикоррупционных стандартов и развитие общественного правосознания</w:t>
            </w:r>
          </w:p>
        </w:tc>
      </w:tr>
      <w:tr w:rsidR="00835A7B" w:rsidTr="00F110CA">
        <w:tc>
          <w:tcPr>
            <w:tcW w:w="668" w:type="dxa"/>
            <w:shd w:val="clear" w:color="auto" w:fill="auto"/>
          </w:tcPr>
          <w:p w:rsidR="00835A7B" w:rsidRDefault="00F110CA">
            <w:pPr>
              <w:tabs>
                <w:tab w:val="left" w:pos="5160"/>
              </w:tabs>
              <w:spacing w:after="0" w:line="240" w:lineRule="auto"/>
              <w:contextualSpacing/>
            </w:pPr>
            <w:r>
              <w:rPr>
                <w:rFonts w:ascii="Times New Roman" w:hAnsi="Times New Roman" w:cs="Times New Roman"/>
                <w:sz w:val="24"/>
                <w:szCs w:val="24"/>
                <w:lang w:val="en-US"/>
              </w:rPr>
              <w:t>21</w:t>
            </w:r>
            <w:r>
              <w:rPr>
                <w:rFonts w:ascii="Times New Roman" w:hAnsi="Times New Roman" w:cs="Times New Roman"/>
                <w:sz w:val="24"/>
                <w:szCs w:val="24"/>
              </w:rPr>
              <w:t>.</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Обеспечение возможности ежегодного повышения квалификации лицам, в должностные обязанности которых входит участие в противодействии коррупции</w:t>
            </w:r>
          </w:p>
        </w:tc>
        <w:tc>
          <w:tcPr>
            <w:tcW w:w="3381" w:type="dxa"/>
            <w:shd w:val="clear" w:color="auto" w:fill="auto"/>
            <w:vAlign w:val="center"/>
          </w:tcPr>
          <w:p w:rsidR="00835A7B" w:rsidRDefault="00F110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Комиссия по предупреждению и противодействию коррупции </w:t>
            </w:r>
            <w:bookmarkStart w:id="4" w:name="__DdeLink__503_29588465711"/>
            <w:r>
              <w:rPr>
                <w:rFonts w:ascii="Times New Roman" w:hAnsi="Times New Roman" w:cs="Times New Roman"/>
                <w:sz w:val="24"/>
                <w:szCs w:val="24"/>
              </w:rPr>
              <w:t>ФГУ «Кубаньмониторингвод</w:t>
            </w:r>
            <w:bookmarkEnd w:id="4"/>
            <w:r>
              <w:rPr>
                <w:rFonts w:ascii="Times New Roman" w:hAnsi="Times New Roman" w:cs="Times New Roman"/>
                <w:sz w:val="24"/>
                <w:szCs w:val="24"/>
              </w:rPr>
              <w:t>»</w:t>
            </w:r>
          </w:p>
        </w:tc>
        <w:tc>
          <w:tcPr>
            <w:tcW w:w="2070" w:type="dxa"/>
            <w:shd w:val="clear" w:color="auto" w:fill="auto"/>
            <w:vAlign w:val="center"/>
          </w:tcPr>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 01 апреля</w:t>
            </w:r>
          </w:p>
          <w:p w:rsidR="00835A7B" w:rsidRDefault="00F110CA">
            <w:pPr>
              <w:tabs>
                <w:tab w:val="left" w:pos="5160"/>
              </w:tabs>
              <w:spacing w:after="0" w:line="240" w:lineRule="auto"/>
              <w:contextualSpacing/>
              <w:jc w:val="center"/>
            </w:pPr>
            <w:r>
              <w:rPr>
                <w:rFonts w:ascii="Times New Roman" w:hAnsi="Times New Roman" w:cs="Times New Roman"/>
                <w:sz w:val="24"/>
                <w:szCs w:val="24"/>
              </w:rPr>
              <w:t>2019 г.</w:t>
            </w:r>
          </w:p>
          <w:p w:rsidR="00835A7B" w:rsidRDefault="00F110CA">
            <w:pPr>
              <w:tabs>
                <w:tab w:val="left" w:pos="5160"/>
              </w:tabs>
              <w:spacing w:after="0" w:line="240" w:lineRule="auto"/>
              <w:contextualSpacing/>
              <w:jc w:val="center"/>
            </w:pPr>
            <w:r>
              <w:rPr>
                <w:rFonts w:ascii="Times New Roman" w:hAnsi="Times New Roman" w:cs="Times New Roman"/>
                <w:sz w:val="24"/>
                <w:szCs w:val="24"/>
              </w:rPr>
              <w:t>До 01 апреля</w:t>
            </w:r>
          </w:p>
          <w:p w:rsidR="00835A7B" w:rsidRDefault="00F110CA">
            <w:pPr>
              <w:tabs>
                <w:tab w:val="left" w:pos="5160"/>
              </w:tabs>
              <w:spacing w:after="0" w:line="240" w:lineRule="auto"/>
              <w:contextualSpacing/>
              <w:jc w:val="center"/>
            </w:pPr>
            <w:bookmarkStart w:id="5" w:name="__DdeLink__365_1864654516"/>
            <w:r>
              <w:rPr>
                <w:rFonts w:ascii="Times New Roman" w:hAnsi="Times New Roman" w:cs="Times New Roman"/>
                <w:sz w:val="24"/>
                <w:szCs w:val="24"/>
              </w:rPr>
              <w:t>2020 г.</w:t>
            </w:r>
            <w:bookmarkEnd w:id="5"/>
          </w:p>
          <w:p w:rsidR="00835A7B" w:rsidRDefault="00F110CA">
            <w:pPr>
              <w:tabs>
                <w:tab w:val="left" w:pos="5160"/>
              </w:tabs>
              <w:spacing w:after="0" w:line="240" w:lineRule="auto"/>
              <w:contextualSpacing/>
              <w:jc w:val="center"/>
            </w:pPr>
            <w:r>
              <w:rPr>
                <w:rFonts w:ascii="Times New Roman" w:hAnsi="Times New Roman" w:cs="Times New Roman"/>
                <w:sz w:val="24"/>
                <w:szCs w:val="24"/>
              </w:rPr>
              <w:t>До 01 декабря</w:t>
            </w:r>
          </w:p>
          <w:p w:rsidR="00835A7B" w:rsidRDefault="00F110CA">
            <w:pPr>
              <w:tabs>
                <w:tab w:val="left" w:pos="5160"/>
              </w:tabs>
              <w:spacing w:after="0" w:line="240" w:lineRule="auto"/>
              <w:contextualSpacing/>
              <w:jc w:val="center"/>
            </w:pPr>
            <w:r>
              <w:rPr>
                <w:rFonts w:ascii="Times New Roman" w:hAnsi="Times New Roman" w:cs="Times New Roman"/>
                <w:sz w:val="24"/>
                <w:szCs w:val="24"/>
              </w:rPr>
              <w:t>2020 г.</w:t>
            </w:r>
          </w:p>
          <w:p w:rsidR="00835A7B" w:rsidRDefault="00F110CA">
            <w:pPr>
              <w:tabs>
                <w:tab w:val="left" w:pos="5160"/>
              </w:tabs>
              <w:spacing w:after="0" w:line="240" w:lineRule="auto"/>
              <w:contextualSpacing/>
              <w:jc w:val="center"/>
            </w:pPr>
            <w:r>
              <w:rPr>
                <w:rFonts w:ascii="Times New Roman" w:hAnsi="Times New Roman" w:cs="Times New Roman"/>
                <w:sz w:val="24"/>
                <w:szCs w:val="24"/>
              </w:rPr>
              <w:lastRenderedPageBreak/>
              <w:t>(итоговый)</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lastRenderedPageBreak/>
              <w:t>Повышение профессиональной квалификации сотрудников, занятых в сфере антикоррупционной деятельности.</w:t>
            </w:r>
          </w:p>
        </w:tc>
      </w:tr>
      <w:tr w:rsidR="00835A7B" w:rsidTr="00F110CA">
        <w:tc>
          <w:tcPr>
            <w:tcW w:w="668" w:type="dxa"/>
            <w:shd w:val="clear" w:color="auto" w:fill="auto"/>
          </w:tcPr>
          <w:p w:rsidR="00835A7B" w:rsidRPr="00F110CA" w:rsidRDefault="00F110CA">
            <w:pPr>
              <w:tabs>
                <w:tab w:val="left" w:pos="5160"/>
              </w:tabs>
              <w:spacing w:after="0" w:line="240" w:lineRule="auto"/>
              <w:contextualSpacing/>
            </w:pPr>
            <w:r>
              <w:rPr>
                <w:rFonts w:ascii="Times New Roman" w:hAnsi="Times New Roman" w:cs="Times New Roman"/>
                <w:sz w:val="24"/>
                <w:szCs w:val="24"/>
                <w:lang w:val="en-US"/>
              </w:rPr>
              <w:t>22</w:t>
            </w:r>
            <w:r>
              <w:rPr>
                <w:rFonts w:ascii="Times New Roman" w:hAnsi="Times New Roman" w:cs="Times New Roman"/>
                <w:sz w:val="24"/>
                <w:szCs w:val="24"/>
              </w:rPr>
              <w:t>.</w:t>
            </w:r>
          </w:p>
        </w:tc>
        <w:tc>
          <w:tcPr>
            <w:tcW w:w="4509" w:type="dxa"/>
            <w:shd w:val="clear" w:color="auto" w:fill="auto"/>
          </w:tcPr>
          <w:p w:rsidR="00835A7B" w:rsidRDefault="00F110CA">
            <w:pPr>
              <w:tabs>
                <w:tab w:val="left" w:pos="5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Обеспечение обучения лиц, впервые принятых на работу для замещения должностей в организациях, созданных для выполнения задач, поставленных перед ФГУ «Кубаньмониторингвод», по образовательным программам в области противодействия коррупции.</w:t>
            </w:r>
          </w:p>
        </w:tc>
        <w:tc>
          <w:tcPr>
            <w:tcW w:w="3381" w:type="dxa"/>
            <w:shd w:val="clear" w:color="auto" w:fill="auto"/>
            <w:vAlign w:val="center"/>
          </w:tcPr>
          <w:p w:rsidR="00835A7B" w:rsidRDefault="00F110CA">
            <w:pPr>
              <w:spacing w:after="0" w:line="240" w:lineRule="auto"/>
              <w:jc w:val="center"/>
            </w:pPr>
            <w:r>
              <w:rPr>
                <w:rFonts w:ascii="Times New Roman" w:hAnsi="Times New Roman" w:cs="Times New Roman"/>
                <w:sz w:val="24"/>
                <w:szCs w:val="24"/>
              </w:rPr>
              <w:t xml:space="preserve">Комиссия по предупреждению и противодействию коррупции </w:t>
            </w:r>
            <w:bookmarkStart w:id="6" w:name="__DdeLink__503_29588465712"/>
            <w:r>
              <w:rPr>
                <w:rFonts w:ascii="Times New Roman" w:hAnsi="Times New Roman" w:cs="Times New Roman"/>
                <w:sz w:val="24"/>
                <w:szCs w:val="24"/>
              </w:rPr>
              <w:t>ФГУ «Кубаньмониторингвод</w:t>
            </w:r>
            <w:bookmarkEnd w:id="6"/>
            <w:r>
              <w:rPr>
                <w:rFonts w:ascii="Times New Roman" w:hAnsi="Times New Roman" w:cs="Times New Roman"/>
                <w:sz w:val="24"/>
                <w:szCs w:val="24"/>
              </w:rPr>
              <w:t>»</w:t>
            </w:r>
          </w:p>
        </w:tc>
        <w:tc>
          <w:tcPr>
            <w:tcW w:w="2070"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До 01 ноября</w:t>
            </w:r>
          </w:p>
          <w:p w:rsidR="00835A7B" w:rsidRDefault="00F110CA">
            <w:pPr>
              <w:tabs>
                <w:tab w:val="left" w:pos="5160"/>
              </w:tabs>
              <w:spacing w:after="0" w:line="240" w:lineRule="auto"/>
              <w:contextualSpacing/>
              <w:jc w:val="center"/>
            </w:pPr>
            <w:r>
              <w:rPr>
                <w:rFonts w:ascii="Times New Roman" w:hAnsi="Times New Roman" w:cs="Times New Roman"/>
                <w:sz w:val="24"/>
                <w:szCs w:val="24"/>
              </w:rPr>
              <w:t>2019 г.</w:t>
            </w:r>
          </w:p>
          <w:p w:rsidR="00835A7B" w:rsidRDefault="00F110CA">
            <w:pPr>
              <w:tabs>
                <w:tab w:val="left" w:pos="5160"/>
              </w:tabs>
              <w:spacing w:after="0" w:line="240" w:lineRule="auto"/>
              <w:contextualSpacing/>
              <w:jc w:val="center"/>
            </w:pPr>
            <w:r>
              <w:rPr>
                <w:rFonts w:ascii="Times New Roman" w:hAnsi="Times New Roman" w:cs="Times New Roman"/>
                <w:sz w:val="24"/>
                <w:szCs w:val="24"/>
              </w:rPr>
              <w:t>До 01 ноября</w:t>
            </w:r>
          </w:p>
          <w:p w:rsidR="00835A7B" w:rsidRDefault="00F110CA">
            <w:pPr>
              <w:tabs>
                <w:tab w:val="left" w:pos="51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 г.</w:t>
            </w:r>
          </w:p>
        </w:tc>
        <w:tc>
          <w:tcPr>
            <w:tcW w:w="4158" w:type="dxa"/>
            <w:shd w:val="clear" w:color="auto" w:fill="auto"/>
            <w:vAlign w:val="center"/>
          </w:tcPr>
          <w:p w:rsidR="00835A7B" w:rsidRDefault="00F110CA">
            <w:pPr>
              <w:tabs>
                <w:tab w:val="left" w:pos="5160"/>
              </w:tabs>
              <w:spacing w:after="0" w:line="240" w:lineRule="auto"/>
              <w:contextualSpacing/>
              <w:jc w:val="center"/>
            </w:pPr>
            <w:r>
              <w:rPr>
                <w:rFonts w:ascii="Times New Roman" w:hAnsi="Times New Roman" w:cs="Times New Roman"/>
                <w:sz w:val="24"/>
                <w:szCs w:val="24"/>
              </w:rPr>
              <w:t>Повышение юридической грамотности лиц, впервые поступивших на работу для замещения должностей, в обязанности которых входит участие в противодействии коррупции.</w:t>
            </w:r>
          </w:p>
        </w:tc>
      </w:tr>
    </w:tbl>
    <w:p w:rsidR="00835A7B" w:rsidRDefault="00835A7B">
      <w:pPr>
        <w:tabs>
          <w:tab w:val="right" w:pos="14570"/>
        </w:tabs>
        <w:spacing w:after="0" w:line="240" w:lineRule="auto"/>
      </w:pPr>
    </w:p>
    <w:p w:rsidR="00835A7B" w:rsidRDefault="00835A7B">
      <w:pPr>
        <w:tabs>
          <w:tab w:val="right" w:pos="14570"/>
        </w:tabs>
        <w:spacing w:after="0" w:line="240" w:lineRule="auto"/>
      </w:pPr>
    </w:p>
    <w:p w:rsidR="00F110CA" w:rsidRDefault="00F110CA">
      <w:pPr>
        <w:tabs>
          <w:tab w:val="right" w:pos="14570"/>
        </w:tabs>
        <w:spacing w:after="0" w:line="240" w:lineRule="auto"/>
      </w:pPr>
    </w:p>
    <w:p w:rsidR="00F110CA" w:rsidRDefault="00F110CA">
      <w:pPr>
        <w:tabs>
          <w:tab w:val="right" w:pos="14570"/>
        </w:tabs>
        <w:spacing w:after="0" w:line="240" w:lineRule="auto"/>
      </w:pPr>
      <w:bookmarkStart w:id="7" w:name="_GoBack"/>
      <w:bookmarkEnd w:id="7"/>
    </w:p>
    <w:sectPr w:rsidR="00F110CA">
      <w:pgSz w:w="16838" w:h="11906" w:orient="landscape"/>
      <w:pgMar w:top="709" w:right="1134" w:bottom="426"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7B"/>
    <w:rsid w:val="00835A7B"/>
    <w:rsid w:val="00F110CA"/>
    <w:rsid w:val="00F855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6667E-10B2-4358-9925-1544B943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508AD"/>
    <w:rPr>
      <w:rFonts w:ascii="Segoe UI" w:hAnsi="Segoe UI" w:cs="Segoe UI"/>
      <w:sz w:val="18"/>
      <w:szCs w:val="18"/>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A508AD"/>
    <w:pPr>
      <w:spacing w:after="0" w:line="240" w:lineRule="auto"/>
    </w:pPr>
    <w:rPr>
      <w:rFonts w:ascii="Segoe UI" w:hAnsi="Segoe UI" w:cs="Segoe UI"/>
      <w:sz w:val="18"/>
      <w:szCs w:val="18"/>
    </w:rPr>
  </w:style>
  <w:style w:type="paragraph" w:customStyle="1" w:styleId="aa">
    <w:name w:val="Содержимое таблицы"/>
    <w:basedOn w:val="a"/>
    <w:qFormat/>
    <w:pPr>
      <w:suppressLineNumbers/>
    </w:pPr>
  </w:style>
  <w:style w:type="paragraph" w:customStyle="1" w:styleId="ab">
    <w:name w:val="Заголовок таблицы"/>
    <w:basedOn w:val="aa"/>
    <w:qFormat/>
    <w:pPr>
      <w:jc w:val="center"/>
    </w:pPr>
    <w:rPr>
      <w:b/>
      <w:bCs/>
    </w:rPr>
  </w:style>
  <w:style w:type="table" w:styleId="ac">
    <w:name w:val="Table Grid"/>
    <w:basedOn w:val="a1"/>
    <w:uiPriority w:val="59"/>
    <w:rsid w:val="004159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Кубаньмониторингвод</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39</cp:revision>
  <cp:lastPrinted>2018-09-12T08:15:00Z</cp:lastPrinted>
  <dcterms:created xsi:type="dcterms:W3CDTF">2016-05-20T07:36:00Z</dcterms:created>
  <dcterms:modified xsi:type="dcterms:W3CDTF">2018-09-17T06:11:00Z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Кубаньмониторингвод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