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5013" w14:textId="38908D95" w:rsidR="009F2BB1" w:rsidRPr="006921ED" w:rsidRDefault="00692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21ED">
        <w:rPr>
          <w:sz w:val="28"/>
          <w:szCs w:val="28"/>
        </w:rPr>
        <w:t>ФГУ «Краснодарское водохранилище» сообщает, что заявок в ФГУ «КВ» от лиц намеревающихся перераспределить максимальную мощность принадлежащих устройств в пользу иных лиц в 2019г. не поступало</w:t>
      </w:r>
      <w:r>
        <w:rPr>
          <w:sz w:val="28"/>
          <w:szCs w:val="28"/>
        </w:rPr>
        <w:t>.</w:t>
      </w:r>
      <w:bookmarkStart w:id="0" w:name="_GoBack"/>
      <w:bookmarkEnd w:id="0"/>
    </w:p>
    <w:sectPr w:rsidR="009F2BB1" w:rsidRPr="0069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6921ED"/>
    <w:rsid w:val="009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472C"/>
  <w15:chartTrackingRefBased/>
  <w15:docId w15:val="{5B42A828-8C93-48FC-963D-62B9404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2020-01-27T10:40:00Z</dcterms:created>
  <dcterms:modified xsi:type="dcterms:W3CDTF">2020-01-27T10:43:00Z</dcterms:modified>
</cp:coreProperties>
</file>