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AC624" w14:textId="6DAFD00F" w:rsidR="000F7024" w:rsidRPr="0005705F" w:rsidRDefault="0005705F" w:rsidP="0005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5705F">
        <w:rPr>
          <w:sz w:val="28"/>
          <w:szCs w:val="28"/>
        </w:rPr>
        <w:t>Возможность подачи заявки на осуществление технологического присоединения энергопринимающих устройств к электрическим сетям посредством официального сайта ФГУ «Краснодарское водохранилище» или иного официального сайта в сети Интернет – отсутствует.</w:t>
      </w:r>
    </w:p>
    <w:sectPr w:rsidR="000F7024" w:rsidRPr="0005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24"/>
    <w:rsid w:val="0005705F"/>
    <w:rsid w:val="000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9472"/>
  <w15:chartTrackingRefBased/>
  <w15:docId w15:val="{79A92D84-586F-4127-A889-BEF875C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2019-04-29T12:30:00Z</dcterms:created>
  <dcterms:modified xsi:type="dcterms:W3CDTF">2019-04-29T12:33:00Z</dcterms:modified>
</cp:coreProperties>
</file>